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EE70D3" w14:textId="77777777" w:rsidR="00BC1E27" w:rsidRPr="0022066D" w:rsidRDefault="00BC1E27" w:rsidP="00E46816">
      <w:pPr>
        <w:pStyle w:val="AralkYok"/>
        <w:jc w:val="center"/>
        <w:rPr>
          <w:sz w:val="24"/>
          <w:szCs w:val="24"/>
          <w:u w:val="single"/>
        </w:rPr>
      </w:pPr>
      <w:r w:rsidRPr="0022066D">
        <w:rPr>
          <w:noProof/>
        </w:rPr>
        <w:drawing>
          <wp:inline distT="0" distB="0" distL="0" distR="0" wp14:anchorId="2EBB91C1" wp14:editId="6CD36490">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4F6B2E69" w14:textId="1E084006" w:rsidR="00BC1E27" w:rsidRPr="00CC5A59" w:rsidRDefault="00BC1E27" w:rsidP="007800F7">
      <w:pPr>
        <w:jc w:val="cente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t xml:space="preserve">   </w:t>
      </w:r>
      <w:r w:rsidR="00D30D13" w:rsidRPr="00CC5A59">
        <w:rPr>
          <w:rFonts w:ascii="Arial" w:hAnsi="Arial" w:cs="Arial"/>
          <w:b/>
          <w:szCs w:val="24"/>
          <w:u w:val="single"/>
        </w:rPr>
        <w:t xml:space="preserve">                        </w:t>
      </w:r>
      <w:r w:rsidR="00310050" w:rsidRPr="00CC5A59">
        <w:rPr>
          <w:rFonts w:ascii="Arial" w:hAnsi="Arial" w:cs="Arial"/>
          <w:b/>
          <w:szCs w:val="24"/>
          <w:u w:val="single"/>
        </w:rPr>
        <w:t xml:space="preserve">       </w:t>
      </w:r>
      <w:r w:rsidR="00E00B13" w:rsidRPr="00CC5A59">
        <w:rPr>
          <w:rFonts w:ascii="Arial" w:hAnsi="Arial" w:cs="Arial"/>
          <w:b/>
          <w:szCs w:val="24"/>
          <w:u w:val="single"/>
        </w:rPr>
        <w:t xml:space="preserve">   </w:t>
      </w:r>
      <w:r w:rsidR="002047FA">
        <w:rPr>
          <w:rFonts w:ascii="Arial" w:hAnsi="Arial" w:cs="Arial"/>
          <w:b/>
          <w:szCs w:val="24"/>
          <w:u w:val="single"/>
        </w:rPr>
        <w:t xml:space="preserve"> </w:t>
      </w:r>
      <w:r w:rsidR="00CF6903">
        <w:rPr>
          <w:rFonts w:ascii="Arial" w:hAnsi="Arial" w:cs="Arial"/>
          <w:b/>
          <w:szCs w:val="24"/>
          <w:u w:val="single"/>
        </w:rPr>
        <w:t>21</w:t>
      </w:r>
      <w:bookmarkStart w:id="0" w:name="_GoBack"/>
      <w:bookmarkEnd w:id="0"/>
      <w:r w:rsidR="00E218FD">
        <w:rPr>
          <w:rFonts w:ascii="Arial" w:hAnsi="Arial" w:cs="Arial"/>
          <w:b/>
          <w:szCs w:val="24"/>
          <w:u w:val="single"/>
        </w:rPr>
        <w:t xml:space="preserve"> </w:t>
      </w:r>
      <w:r w:rsidR="00E46816">
        <w:rPr>
          <w:rFonts w:ascii="Arial" w:hAnsi="Arial" w:cs="Arial"/>
          <w:b/>
          <w:szCs w:val="24"/>
          <w:u w:val="single"/>
        </w:rPr>
        <w:t>Eylül</w:t>
      </w:r>
      <w:r w:rsidR="00501041">
        <w:rPr>
          <w:rFonts w:ascii="Arial" w:hAnsi="Arial" w:cs="Arial"/>
          <w:b/>
          <w:szCs w:val="24"/>
          <w:u w:val="single"/>
        </w:rPr>
        <w:t xml:space="preserve"> </w:t>
      </w:r>
      <w:r w:rsidR="00E75CB4" w:rsidRPr="00CC5A59">
        <w:rPr>
          <w:rFonts w:ascii="Arial" w:hAnsi="Arial" w:cs="Arial"/>
          <w:b/>
          <w:szCs w:val="24"/>
          <w:u w:val="single"/>
        </w:rPr>
        <w:t>2021</w:t>
      </w:r>
    </w:p>
    <w:p w14:paraId="5DE0513A" w14:textId="77777777" w:rsidR="006D71C3" w:rsidRPr="006D71C3" w:rsidRDefault="006D71C3" w:rsidP="006D71C3">
      <w:pPr>
        <w:jc w:val="center"/>
        <w:rPr>
          <w:rFonts w:ascii="Arial" w:hAnsi="Arial" w:cs="Arial"/>
          <w:b/>
          <w:sz w:val="28"/>
          <w:szCs w:val="28"/>
        </w:rPr>
      </w:pPr>
      <w:r w:rsidRPr="00752A95">
        <w:rPr>
          <w:rFonts w:ascii="Arial" w:hAnsi="Arial" w:cs="Arial"/>
          <w:b/>
          <w:sz w:val="28"/>
          <w:szCs w:val="28"/>
        </w:rPr>
        <w:t>Yüksek faiz inşaat sektörünü olumsuz etkiliyor</w:t>
      </w:r>
    </w:p>
    <w:p w14:paraId="01990B2C" w14:textId="14B3AC01" w:rsidR="00D90C8C" w:rsidRDefault="00BC1E27" w:rsidP="007800F7">
      <w:pPr>
        <w:jc w:val="both"/>
        <w:rPr>
          <w:rFonts w:ascii="Arial" w:hAnsi="Arial" w:cs="Arial"/>
          <w:b/>
        </w:rPr>
      </w:pPr>
      <w:r w:rsidRPr="004E0C19">
        <w:rPr>
          <w:rFonts w:ascii="Arial" w:hAnsi="Arial" w:cs="Arial"/>
          <w:b/>
        </w:rPr>
        <w:t xml:space="preserve">Türkiye Hazır Beton Birliği (THBB), her ay merakla beklenen inşaat ve bununla bağlantılı imalat ve hizmet sektörlerindeki mevcut durum ile beklenen gelişmeleri ortaya koyan </w:t>
      </w:r>
      <w:r w:rsidR="000963BE">
        <w:rPr>
          <w:rFonts w:ascii="Arial" w:hAnsi="Arial" w:cs="Arial"/>
          <w:b/>
        </w:rPr>
        <w:t>“Hazır Beton Endeksi” 2021</w:t>
      </w:r>
      <w:r w:rsidR="00E75CB4">
        <w:rPr>
          <w:rFonts w:ascii="Arial" w:hAnsi="Arial" w:cs="Arial"/>
          <w:b/>
        </w:rPr>
        <w:t xml:space="preserve"> </w:t>
      </w:r>
      <w:r w:rsidR="00E46816">
        <w:rPr>
          <w:rFonts w:ascii="Arial" w:hAnsi="Arial" w:cs="Arial"/>
          <w:b/>
        </w:rPr>
        <w:t>Ağustos</w:t>
      </w:r>
      <w:r w:rsidR="008D2534">
        <w:rPr>
          <w:rFonts w:ascii="Arial" w:hAnsi="Arial" w:cs="Arial"/>
          <w:b/>
        </w:rPr>
        <w:t xml:space="preserve"> </w:t>
      </w:r>
      <w:r w:rsidRPr="004E0C19">
        <w:rPr>
          <w:rFonts w:ascii="Arial" w:hAnsi="Arial" w:cs="Arial"/>
          <w:b/>
        </w:rPr>
        <w:t>Ayı Raporu’nu açıkladı</w:t>
      </w:r>
      <w:r w:rsidR="00AB352F">
        <w:t xml:space="preserve">. </w:t>
      </w:r>
      <w:r w:rsidR="00D90C8C" w:rsidRPr="00D90C8C">
        <w:rPr>
          <w:rFonts w:ascii="Arial" w:hAnsi="Arial" w:cs="Arial"/>
          <w:b/>
        </w:rPr>
        <w:t>Temmuz ayında faaliyetteki bayram tatili kaynaklı gerilemeden sonra ağus</w:t>
      </w:r>
      <w:r w:rsidR="007A6B9E">
        <w:rPr>
          <w:rFonts w:ascii="Arial" w:hAnsi="Arial" w:cs="Arial"/>
          <w:b/>
        </w:rPr>
        <w:t xml:space="preserve">tosta bir yükselme </w:t>
      </w:r>
      <w:r w:rsidR="00EA1DAC">
        <w:rPr>
          <w:rFonts w:ascii="Arial" w:hAnsi="Arial" w:cs="Arial"/>
          <w:b/>
        </w:rPr>
        <w:t>yaşanırken</w:t>
      </w:r>
      <w:r w:rsidR="00D90C8C" w:rsidRPr="00D90C8C">
        <w:rPr>
          <w:rFonts w:ascii="Arial" w:hAnsi="Arial" w:cs="Arial"/>
          <w:b/>
        </w:rPr>
        <w:t xml:space="preserve"> Beklenti Endeks</w:t>
      </w:r>
      <w:r w:rsidR="002D7D36">
        <w:rPr>
          <w:rFonts w:ascii="Arial" w:hAnsi="Arial" w:cs="Arial"/>
          <w:b/>
        </w:rPr>
        <w:t>i pozitif tarafta devam ediyor.</w:t>
      </w:r>
      <w:r w:rsidR="00D90C8C" w:rsidRPr="00D90C8C">
        <w:rPr>
          <w:rFonts w:ascii="Arial" w:hAnsi="Arial" w:cs="Arial"/>
          <w:b/>
        </w:rPr>
        <w:t xml:space="preserve"> Güven Endeksi’nde sınırlı bir artış görülmekle birlikte, </w:t>
      </w:r>
      <w:proofErr w:type="spellStart"/>
      <w:r w:rsidR="00D90C8C" w:rsidRPr="00D90C8C">
        <w:rPr>
          <w:rFonts w:ascii="Arial" w:hAnsi="Arial" w:cs="Arial"/>
          <w:b/>
        </w:rPr>
        <w:t>pandemi</w:t>
      </w:r>
      <w:proofErr w:type="spellEnd"/>
      <w:r w:rsidR="00D90C8C" w:rsidRPr="00D90C8C">
        <w:rPr>
          <w:rFonts w:ascii="Arial" w:hAnsi="Arial" w:cs="Arial"/>
          <w:b/>
        </w:rPr>
        <w:t xml:space="preserve"> koşullarındaki iyileşme ve ekonomik normalleşmeye rağmen inşaatta uzun dönemli toparlanma için gerekli koşulları</w:t>
      </w:r>
      <w:r w:rsidR="007A6B9E">
        <w:rPr>
          <w:rFonts w:ascii="Arial" w:hAnsi="Arial" w:cs="Arial"/>
          <w:b/>
        </w:rPr>
        <w:t>n ortaya çıkmadığı görülüyor</w:t>
      </w:r>
      <w:r w:rsidR="00D90C8C" w:rsidRPr="00D90C8C">
        <w:rPr>
          <w:rFonts w:ascii="Arial" w:hAnsi="Arial" w:cs="Arial"/>
          <w:b/>
        </w:rPr>
        <w:t xml:space="preserve">. </w:t>
      </w:r>
    </w:p>
    <w:p w14:paraId="674E3614" w14:textId="77777777" w:rsidR="00BC1E27" w:rsidRDefault="00BC1E27" w:rsidP="007800F7">
      <w:pPr>
        <w:jc w:val="both"/>
        <w:rPr>
          <w:rFonts w:ascii="Arial" w:hAnsi="Arial" w:cs="Arial"/>
        </w:rPr>
      </w:pPr>
      <w:r w:rsidRPr="004E0C19">
        <w:rPr>
          <w:rFonts w:ascii="Arial" w:hAnsi="Arial" w:cs="Arial"/>
        </w:rPr>
        <w:t>Türkiye Hazır Beton Birliği (THBB) her ay açıkladığı Hazır Beton Endeksi il</w:t>
      </w:r>
      <w:r w:rsidR="00D23BBB">
        <w:rPr>
          <w:rFonts w:ascii="Arial" w:hAnsi="Arial" w:cs="Arial"/>
        </w:rPr>
        <w:t>e Türkiye’de inşaat sektörü</w:t>
      </w:r>
      <w:r w:rsidRPr="004E0C19">
        <w:rPr>
          <w:rFonts w:ascii="Arial" w:hAnsi="Arial" w:cs="Arial"/>
        </w:rPr>
        <w:t xml:space="preserve"> ve bağlantılı imalat ve hizmet sektörlerindeki mevcut durumu ve beklenen gelişmeleri ortaya koymaktadır. İnşaat sektörünün en temel girdilerinden biri olan ve aynı zamanda üretiminden sonra </w:t>
      </w:r>
      <w:r w:rsidR="00310050">
        <w:rPr>
          <w:rFonts w:ascii="Arial" w:hAnsi="Arial" w:cs="Arial"/>
        </w:rPr>
        <w:t>kısa</w:t>
      </w:r>
      <w:r w:rsidRPr="004E0C19">
        <w:rPr>
          <w:rFonts w:ascii="Arial" w:hAnsi="Arial" w:cs="Arial"/>
        </w:rPr>
        <w:t xml:space="preserve"> bir süre içinde stoklanmadan inşaatlarda kullanılan hazır betonla ilgili bu Endeks, inşaat sektörünün büyüme hızını ortaya koyan en önemli göstergelerden biridir.</w:t>
      </w:r>
    </w:p>
    <w:p w14:paraId="3E7D85B8" w14:textId="3649C48F" w:rsidR="00D90C8C" w:rsidRDefault="002C5A3D" w:rsidP="007800F7">
      <w:pPr>
        <w:jc w:val="both"/>
        <w:rPr>
          <w:rFonts w:ascii="Arial" w:hAnsi="Arial" w:cs="Arial"/>
        </w:rPr>
      </w:pPr>
      <w:r w:rsidRPr="004E0C19">
        <w:rPr>
          <w:rFonts w:ascii="Arial" w:hAnsi="Arial" w:cs="Arial"/>
        </w:rPr>
        <w:t>THBB, her ay merakla beklenen Hazır Beton Endeksi’nin 202</w:t>
      </w:r>
      <w:r w:rsidR="000963BE">
        <w:rPr>
          <w:rFonts w:ascii="Arial" w:hAnsi="Arial" w:cs="Arial"/>
        </w:rPr>
        <w:t>1</w:t>
      </w:r>
      <w:r w:rsidRPr="004E0C19">
        <w:rPr>
          <w:rFonts w:ascii="Arial" w:hAnsi="Arial" w:cs="Arial"/>
        </w:rPr>
        <w:t xml:space="preserve"> </w:t>
      </w:r>
      <w:r w:rsidR="00D90C8C">
        <w:rPr>
          <w:rFonts w:ascii="Arial" w:hAnsi="Arial" w:cs="Arial"/>
        </w:rPr>
        <w:t>Ağustos</w:t>
      </w:r>
      <w:r w:rsidR="006037D9">
        <w:rPr>
          <w:rFonts w:ascii="Arial" w:hAnsi="Arial" w:cs="Arial"/>
        </w:rPr>
        <w:t xml:space="preserve"> Ayı Raporu’nu </w:t>
      </w:r>
      <w:proofErr w:type="gramStart"/>
      <w:r w:rsidR="006037D9">
        <w:rPr>
          <w:rFonts w:ascii="Arial" w:hAnsi="Arial" w:cs="Arial"/>
        </w:rPr>
        <w:t>açıkladı</w:t>
      </w:r>
      <w:proofErr w:type="gramEnd"/>
      <w:r w:rsidR="006037D9">
        <w:rPr>
          <w:rFonts w:ascii="Arial" w:hAnsi="Arial" w:cs="Arial"/>
        </w:rPr>
        <w:t>.</w:t>
      </w:r>
      <w:r w:rsidR="007800F7">
        <w:rPr>
          <w:rFonts w:ascii="Arial" w:hAnsi="Arial" w:cs="Arial"/>
        </w:rPr>
        <w:t xml:space="preserve"> Rapora göre, </w:t>
      </w:r>
      <w:r w:rsidR="00EA1DAC">
        <w:rPr>
          <w:rFonts w:ascii="Arial" w:hAnsi="Arial" w:cs="Arial"/>
        </w:rPr>
        <w:t>t</w:t>
      </w:r>
      <w:r w:rsidR="00D90C8C" w:rsidRPr="00D90C8C">
        <w:rPr>
          <w:rFonts w:ascii="Arial" w:hAnsi="Arial" w:cs="Arial"/>
        </w:rPr>
        <w:t xml:space="preserve">emmuz ayında faaliyetteki bayram tatili kaynaklı gerilemeden sonra ağustosta bir yükselme söz konusudur. Beklenti Endeksi pozitif tarafta devam etmiştir. Güven Endeksi’nde sınırlı bir artış görülmekle birlikte, </w:t>
      </w:r>
      <w:proofErr w:type="spellStart"/>
      <w:r w:rsidR="00D90C8C" w:rsidRPr="00D90C8C">
        <w:rPr>
          <w:rFonts w:ascii="Arial" w:hAnsi="Arial" w:cs="Arial"/>
        </w:rPr>
        <w:t>pandemi</w:t>
      </w:r>
      <w:proofErr w:type="spellEnd"/>
      <w:r w:rsidR="00D90C8C" w:rsidRPr="00D90C8C">
        <w:rPr>
          <w:rFonts w:ascii="Arial" w:hAnsi="Arial" w:cs="Arial"/>
        </w:rPr>
        <w:t xml:space="preserve"> koşullarındaki iyileşme ve ekonomik normalleşmeye rağmen inşaatta uzun dönemli toparlanma için gerekli koşulların ortaya çıkmadığı görülmektedir. Aynı zamanda Güven Endeksi’nin diğer endekslere göre düşük kalması, inşaat sektörü özelinde güven tesisinin diğer sektörlere kıyasla çok daha zor olduğuna işaret etmektedir.  </w:t>
      </w:r>
    </w:p>
    <w:p w14:paraId="707FAAB9" w14:textId="77777777" w:rsidR="007800F7" w:rsidRDefault="000963BE" w:rsidP="007800F7">
      <w:pPr>
        <w:jc w:val="both"/>
        <w:rPr>
          <w:rFonts w:ascii="Arial" w:hAnsi="Arial" w:cs="Arial"/>
        </w:rPr>
      </w:pPr>
      <w:r>
        <w:rPr>
          <w:rFonts w:ascii="Arial" w:hAnsi="Arial" w:cs="Arial"/>
        </w:rPr>
        <w:t xml:space="preserve">Hazır Beton Endeksi </w:t>
      </w:r>
      <w:r w:rsidR="00D90C8C">
        <w:rPr>
          <w:rFonts w:ascii="Arial" w:hAnsi="Arial" w:cs="Arial"/>
        </w:rPr>
        <w:t>Ağustos</w:t>
      </w:r>
      <w:r w:rsidR="00987E20">
        <w:rPr>
          <w:rFonts w:ascii="Arial" w:hAnsi="Arial" w:cs="Arial"/>
        </w:rPr>
        <w:t xml:space="preserve"> </w:t>
      </w:r>
      <w:r w:rsidR="00D23BBB">
        <w:rPr>
          <w:rFonts w:ascii="Arial" w:hAnsi="Arial" w:cs="Arial"/>
        </w:rPr>
        <w:t xml:space="preserve">Ayı Raporu verilerine göre </w:t>
      </w:r>
      <w:r w:rsidR="00553B34" w:rsidRPr="00553B34">
        <w:rPr>
          <w:rFonts w:ascii="Arial" w:hAnsi="Arial" w:cs="Arial"/>
        </w:rPr>
        <w:t xml:space="preserve">beklenti dışındaki diğer endeksler, </w:t>
      </w:r>
      <w:proofErr w:type="spellStart"/>
      <w:r w:rsidR="00553B34" w:rsidRPr="00553B34">
        <w:rPr>
          <w:rFonts w:ascii="Arial" w:hAnsi="Arial" w:cs="Arial"/>
        </w:rPr>
        <w:t>pandemi</w:t>
      </w:r>
      <w:proofErr w:type="spellEnd"/>
      <w:r w:rsidR="00553B34" w:rsidRPr="00553B34">
        <w:rPr>
          <w:rFonts w:ascii="Arial" w:hAnsi="Arial" w:cs="Arial"/>
        </w:rPr>
        <w:t xml:space="preserve"> sonrasında Türkiye ekonomisinde toparlanmanın etkilerinin görüldüğü geçen yılın ağustos ayına kıyasla yüksek görünmektedir</w:t>
      </w:r>
      <w:r w:rsidR="00553B34">
        <w:rPr>
          <w:rFonts w:ascii="Arial" w:hAnsi="Arial" w:cs="Arial"/>
        </w:rPr>
        <w:t>.</w:t>
      </w:r>
      <w:r w:rsidR="007800F7" w:rsidRPr="007800F7">
        <w:rPr>
          <w:rFonts w:ascii="Arial" w:hAnsi="Arial" w:cs="Arial"/>
        </w:rPr>
        <w:t xml:space="preserve"> </w:t>
      </w:r>
    </w:p>
    <w:p w14:paraId="6CC574F7" w14:textId="77777777" w:rsidR="00553B34" w:rsidRDefault="00553B34" w:rsidP="007800F7">
      <w:pPr>
        <w:jc w:val="both"/>
        <w:rPr>
          <w:rFonts w:ascii="Arial" w:hAnsi="Arial" w:cs="Arial"/>
        </w:rPr>
      </w:pPr>
      <w:r>
        <w:rPr>
          <w:rFonts w:ascii="Arial" w:hAnsi="Arial" w:cs="Arial"/>
        </w:rPr>
        <w:t>Raporun</w:t>
      </w:r>
      <w:r w:rsidRPr="0082797E">
        <w:rPr>
          <w:rFonts w:ascii="Arial" w:hAnsi="Arial" w:cs="Arial"/>
        </w:rPr>
        <w:t xml:space="preserve"> sonuçlarını değerlendiren</w:t>
      </w:r>
      <w:r>
        <w:rPr>
          <w:rFonts w:ascii="Arial" w:hAnsi="Arial" w:cs="Arial"/>
        </w:rPr>
        <w:t xml:space="preserve"> </w:t>
      </w:r>
      <w:r w:rsidRPr="0082797E">
        <w:rPr>
          <w:rFonts w:ascii="Arial" w:hAnsi="Arial" w:cs="Arial"/>
        </w:rPr>
        <w:t>THBB Yön</w:t>
      </w:r>
      <w:r>
        <w:rPr>
          <w:rFonts w:ascii="Arial" w:hAnsi="Arial" w:cs="Arial"/>
        </w:rPr>
        <w:t>etim Kurulu Başkanı Yavuz Işık, “</w:t>
      </w:r>
      <w:r w:rsidRPr="00553B34">
        <w:rPr>
          <w:rFonts w:ascii="Arial" w:hAnsi="Arial" w:cs="Arial"/>
        </w:rPr>
        <w:t>Ekonomideki genişleme göstergelerine rağmen inşaatın görece geri kalmasının temel nedeni, yüksek faiz olarak görülebilir. Temmuz ayında ipotekli ilk el konut satışları 5 bine kadar gerilemiş görünmektedir. Geçen yılın ocak-temmuz döneminde 128 bin olan ipotekli ilk el satışları bu yılın aynı döneminde 33 bine düşerek %74 gerilemiştir.</w:t>
      </w:r>
      <w:r>
        <w:rPr>
          <w:rFonts w:ascii="Arial" w:hAnsi="Arial" w:cs="Arial"/>
        </w:rPr>
        <w:t>” diye konuştu.</w:t>
      </w:r>
    </w:p>
    <w:p w14:paraId="6E250803" w14:textId="77777777" w:rsidR="006D71C3" w:rsidRDefault="006D71C3" w:rsidP="007800F7">
      <w:pPr>
        <w:jc w:val="both"/>
        <w:rPr>
          <w:rFonts w:ascii="Arial" w:hAnsi="Arial" w:cs="Arial"/>
          <w:b/>
        </w:rPr>
      </w:pPr>
      <w:r w:rsidRPr="006D71C3">
        <w:rPr>
          <w:rFonts w:ascii="Arial" w:hAnsi="Arial" w:cs="Arial"/>
          <w:b/>
        </w:rPr>
        <w:t>İnşaat sektörü için planlı ve sürdürülebilir bir büyümeye ihtiyaç var</w:t>
      </w:r>
    </w:p>
    <w:p w14:paraId="1DB144AB" w14:textId="695D5468" w:rsidR="007800F7" w:rsidRDefault="006D71C3" w:rsidP="007800F7">
      <w:pPr>
        <w:jc w:val="both"/>
        <w:rPr>
          <w:rFonts w:ascii="Arial" w:hAnsi="Arial" w:cs="Arial"/>
        </w:rPr>
      </w:pPr>
      <w:r w:rsidRPr="006D71C3">
        <w:rPr>
          <w:rFonts w:ascii="Arial" w:hAnsi="Arial" w:cs="Arial"/>
        </w:rPr>
        <w:t>İkinci çeyrekte %21,7 büyüyen Türkiye ekonomisindeki sektörler içerisinde inşaat</w:t>
      </w:r>
      <w:r>
        <w:rPr>
          <w:rFonts w:ascii="Arial" w:hAnsi="Arial" w:cs="Arial"/>
        </w:rPr>
        <w:t>ın</w:t>
      </w:r>
      <w:r w:rsidRPr="006D71C3">
        <w:rPr>
          <w:rFonts w:ascii="Arial" w:hAnsi="Arial" w:cs="Arial"/>
        </w:rPr>
        <w:t>, tarımdan sonra en düşük pozitif büy</w:t>
      </w:r>
      <w:r>
        <w:rPr>
          <w:rFonts w:ascii="Arial" w:hAnsi="Arial" w:cs="Arial"/>
        </w:rPr>
        <w:t>üme oranına sahip olan sektör olduğunu belirten Yavuz Işık, “</w:t>
      </w:r>
      <w:r w:rsidR="00752A95" w:rsidRPr="00752A95">
        <w:rPr>
          <w:rFonts w:ascii="Arial" w:hAnsi="Arial" w:cs="Arial"/>
        </w:rPr>
        <w:t>13 çeyrektir inşaat sektörü %3’ten yüksek bir büyüme per</w:t>
      </w:r>
      <w:r w:rsidR="00752A95">
        <w:rPr>
          <w:rFonts w:ascii="Arial" w:hAnsi="Arial" w:cs="Arial"/>
        </w:rPr>
        <w:t xml:space="preserve">formansı ortaya koyamamaktadır. </w:t>
      </w:r>
      <w:r w:rsidRPr="006D71C3">
        <w:rPr>
          <w:rFonts w:ascii="Arial" w:hAnsi="Arial" w:cs="Arial"/>
        </w:rPr>
        <w:t xml:space="preserve">İnşaat sektörünün 2009 küresel krizi öncesinde çeyrekler bazında ortalamada %9,8 ve kriz sonrasında 2010-2017 döneminde %11 olan büyüme rakamı, 2018’den bugüne -%4’e inmiştir. Bu boyutta bir düşüş, inşaat sektörü için planlı ve sürdürülebilir bir büyüme </w:t>
      </w:r>
      <w:r>
        <w:rPr>
          <w:rFonts w:ascii="Arial" w:hAnsi="Arial" w:cs="Arial"/>
        </w:rPr>
        <w:t xml:space="preserve">ihtiyacını ortaya koymaktadır.” dedi. </w:t>
      </w:r>
    </w:p>
    <w:p w14:paraId="5891D856" w14:textId="77777777" w:rsidR="00752A95" w:rsidRDefault="00752A95" w:rsidP="007800F7">
      <w:pPr>
        <w:jc w:val="both"/>
        <w:rPr>
          <w:rFonts w:ascii="Arial" w:hAnsi="Arial" w:cs="Arial"/>
        </w:rPr>
      </w:pPr>
    </w:p>
    <w:p w14:paraId="6E253694" w14:textId="77777777" w:rsidR="00752A95" w:rsidRDefault="00752A95" w:rsidP="007800F7">
      <w:pPr>
        <w:jc w:val="both"/>
        <w:rPr>
          <w:rFonts w:ascii="Arial" w:hAnsi="Arial" w:cs="Arial"/>
        </w:rPr>
      </w:pPr>
    </w:p>
    <w:p w14:paraId="34A4050D" w14:textId="77777777" w:rsidR="007800F7" w:rsidRDefault="007800F7" w:rsidP="007800F7">
      <w:pPr>
        <w:jc w:val="both"/>
        <w:rPr>
          <w:rFonts w:ascii="Arial" w:hAnsi="Arial" w:cs="Arial"/>
        </w:rPr>
      </w:pPr>
    </w:p>
    <w:p w14:paraId="13628EA7" w14:textId="77777777" w:rsidR="00531B78" w:rsidRPr="0022066D" w:rsidRDefault="008E2225" w:rsidP="007800F7">
      <w:pPr>
        <w:spacing w:after="120"/>
        <w:jc w:val="center"/>
        <w:outlineLvl w:val="1"/>
        <w:rPr>
          <w:rFonts w:ascii="Arial" w:hAnsi="Arial" w:cs="Arial"/>
          <w:b/>
        </w:rPr>
      </w:pPr>
      <w:r w:rsidRPr="0022066D">
        <w:rPr>
          <w:rFonts w:ascii="Arial" w:hAnsi="Arial" w:cs="Arial"/>
          <w:b/>
        </w:rPr>
        <w:lastRenderedPageBreak/>
        <w:t>Grafik</w:t>
      </w:r>
      <w:r w:rsidR="00384D4B">
        <w:rPr>
          <w:rFonts w:ascii="Arial" w:hAnsi="Arial" w:cs="Arial"/>
          <w:b/>
        </w:rPr>
        <w:t xml:space="preserve"> </w:t>
      </w:r>
      <w:r w:rsidRPr="0022066D">
        <w:rPr>
          <w:rFonts w:ascii="Arial" w:hAnsi="Arial" w:cs="Arial"/>
          <w:b/>
        </w:rPr>
        <w:t>1: Endeks Değerleri</w:t>
      </w:r>
    </w:p>
    <w:p w14:paraId="470768B8" w14:textId="77777777" w:rsidR="008E2225" w:rsidRPr="0022066D" w:rsidRDefault="006D71C3" w:rsidP="007800F7">
      <w:pPr>
        <w:spacing w:before="230" w:after="115"/>
        <w:contextualSpacing/>
        <w:jc w:val="center"/>
        <w:outlineLvl w:val="1"/>
        <w:rPr>
          <w:rFonts w:ascii="Arial" w:hAnsi="Arial" w:cs="Arial"/>
          <w:b/>
          <w:sz w:val="24"/>
          <w:szCs w:val="24"/>
        </w:rPr>
      </w:pPr>
      <w:r>
        <w:rPr>
          <w:noProof/>
        </w:rPr>
        <w:drawing>
          <wp:inline distT="0" distB="0" distL="0" distR="0" wp14:anchorId="04C5E526" wp14:editId="36F48798">
            <wp:extent cx="5760720" cy="3984625"/>
            <wp:effectExtent l="0" t="0" r="11430" b="15875"/>
            <wp:docPr id="1" name="Grafik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4942B3" w14:textId="77777777" w:rsidR="00245647" w:rsidRDefault="00245647" w:rsidP="007800F7">
      <w:pPr>
        <w:spacing w:after="120"/>
        <w:jc w:val="center"/>
        <w:outlineLvl w:val="1"/>
        <w:rPr>
          <w:rFonts w:ascii="Arial" w:hAnsi="Arial" w:cs="Arial"/>
          <w:b/>
        </w:rPr>
      </w:pPr>
    </w:p>
    <w:p w14:paraId="4F907710" w14:textId="77777777" w:rsidR="00B9372F" w:rsidRDefault="008E2225" w:rsidP="007800F7">
      <w:pPr>
        <w:spacing w:after="120"/>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743476D4" w14:textId="77777777" w:rsidR="00BC1E27" w:rsidRPr="0022066D" w:rsidRDefault="006D71C3" w:rsidP="007800F7">
      <w:pPr>
        <w:spacing w:before="230" w:after="115"/>
        <w:contextualSpacing/>
        <w:jc w:val="center"/>
        <w:outlineLvl w:val="1"/>
        <w:rPr>
          <w:rFonts w:ascii="Arial" w:hAnsi="Arial" w:cs="Arial"/>
          <w:sz w:val="24"/>
          <w:szCs w:val="24"/>
        </w:rPr>
      </w:pPr>
      <w:r>
        <w:rPr>
          <w:noProof/>
        </w:rPr>
        <w:drawing>
          <wp:inline distT="0" distB="0" distL="0" distR="0" wp14:anchorId="5E02B32D" wp14:editId="28A0A0D6">
            <wp:extent cx="5760720" cy="1486558"/>
            <wp:effectExtent l="0" t="0" r="11430" b="18415"/>
            <wp:docPr id="3" name="Grafik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BBFA7F1" w14:textId="77777777" w:rsidR="00794514" w:rsidRPr="0022066D" w:rsidRDefault="00794514" w:rsidP="007800F7">
      <w:pPr>
        <w:jc w:val="both"/>
        <w:rPr>
          <w:rFonts w:ascii="Arial" w:hAnsi="Arial" w:cs="Arial"/>
          <w:b/>
          <w:noProof/>
          <w:sz w:val="16"/>
          <w:szCs w:val="16"/>
          <w:u w:val="single"/>
        </w:rPr>
      </w:pPr>
    </w:p>
    <w:p w14:paraId="229A8505" w14:textId="77777777" w:rsidR="00BC1E27" w:rsidRPr="0022066D"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1CEDDAB3" w14:textId="77777777" w:rsidR="00BC1E27" w:rsidRPr="0022066D" w:rsidRDefault="00BC1E27" w:rsidP="007800F7">
      <w:pPr>
        <w:jc w:val="both"/>
        <w:rPr>
          <w:rFonts w:ascii="Arial" w:hAnsi="Arial" w:cs="Arial"/>
          <w:b/>
          <w:bCs/>
          <w:sz w:val="16"/>
          <w:szCs w:val="16"/>
          <w:u w:val="single"/>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türetiliyor. </w:t>
      </w:r>
      <w:proofErr w:type="gramStart"/>
      <w:r w:rsidRPr="0022066D">
        <w:rPr>
          <w:rFonts w:ascii="Arial" w:hAnsi="Arial" w:cs="Arial"/>
          <w:sz w:val="16"/>
          <w:szCs w:val="16"/>
        </w:rPr>
        <w:t xml:space="preserve">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w:t>
      </w:r>
      <w:proofErr w:type="gramEnd"/>
      <w:r w:rsidRPr="0022066D">
        <w:rPr>
          <w:rFonts w:ascii="Arial" w:hAnsi="Arial" w:cs="Arial"/>
          <w:sz w:val="16"/>
          <w:szCs w:val="16"/>
        </w:rPr>
        <w:t>Hazır Beton Endeksi ile endekslerin tümünü içeren bileşik endeks elde ediliyor.</w:t>
      </w:r>
    </w:p>
    <w:p w14:paraId="6BEBBC3F"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4DA1B811"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r w:rsidRPr="0022066D">
        <w:rPr>
          <w:rFonts w:ascii="Arial" w:hAnsi="Arial" w:cs="Arial"/>
          <w:bCs/>
          <w:sz w:val="16"/>
          <w:szCs w:val="16"/>
        </w:rPr>
        <w:t xml:space="preserve">Concrete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w:t>
      </w:r>
      <w:proofErr w:type="gramStart"/>
      <w:r w:rsidRPr="0022066D">
        <w:rPr>
          <w:rFonts w:ascii="Arial" w:hAnsi="Arial" w:cs="Arial"/>
          <w:bCs/>
          <w:sz w:val="16"/>
          <w:szCs w:val="16"/>
        </w:rPr>
        <w:t>kriterleri</w:t>
      </w:r>
      <w:proofErr w:type="gramEnd"/>
      <w:r w:rsidRPr="0022066D">
        <w:rPr>
          <w:rFonts w:ascii="Arial" w:hAnsi="Arial" w:cs="Arial"/>
          <w:bCs/>
          <w:sz w:val="16"/>
          <w:szCs w:val="16"/>
        </w:rPr>
        <w:t xml:space="preserve"> eksiksiz yerine getirmesi zorunludur.</w:t>
      </w:r>
    </w:p>
    <w:p w14:paraId="501F55B1" w14:textId="77777777" w:rsidR="00BC1E27" w:rsidRPr="0022066D" w:rsidRDefault="0003102D" w:rsidP="007800F7">
      <w:pPr>
        <w:pStyle w:val="AralkYok1"/>
        <w:spacing w:line="276" w:lineRule="auto"/>
        <w:contextualSpacing/>
        <w:rPr>
          <w:rFonts w:ascii="Arial" w:eastAsia="Times New Roman" w:hAnsi="Arial" w:cs="Arial"/>
          <w:b/>
          <w:bCs/>
          <w:sz w:val="16"/>
          <w:szCs w:val="16"/>
        </w:rPr>
      </w:pPr>
      <w:hyperlink r:id="rId12" w:history="1">
        <w:r w:rsidR="00BC1E27" w:rsidRPr="0022066D">
          <w:rPr>
            <w:rStyle w:val="Kpr"/>
            <w:rFonts w:ascii="Arial" w:eastAsia="Times New Roman" w:hAnsi="Arial" w:cs="Arial"/>
            <w:b/>
            <w:bCs/>
            <w:sz w:val="16"/>
            <w:szCs w:val="16"/>
          </w:rPr>
          <w:t>Basın bültenlerimizi indirmek için buraya tıklayınız…</w:t>
        </w:r>
      </w:hyperlink>
    </w:p>
    <w:p w14:paraId="5D274842" w14:textId="77777777" w:rsidR="00BC1E27" w:rsidRPr="0022066D"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Pr="0022066D">
        <w:rPr>
          <w:rFonts w:ascii="Arial" w:hAnsi="Arial" w:cs="Arial"/>
          <w:b/>
          <w:sz w:val="16"/>
          <w:szCs w:val="16"/>
          <w:u w:val="single"/>
        </w:rPr>
        <w:br/>
      </w:r>
      <w:r w:rsidRPr="0022066D">
        <w:rPr>
          <w:rFonts w:ascii="Arial" w:hAnsi="Arial" w:cs="Arial"/>
          <w:b/>
          <w:sz w:val="16"/>
          <w:szCs w:val="16"/>
        </w:rPr>
        <w:t xml:space="preserve">Türkiye Hazır Beton Birliği </w:t>
      </w:r>
      <w:r w:rsidRPr="0022066D">
        <w:rPr>
          <w:rFonts w:ascii="Arial" w:hAnsi="Arial" w:cs="Arial"/>
          <w:b/>
          <w:sz w:val="16"/>
          <w:szCs w:val="16"/>
        </w:rPr>
        <w:br/>
        <w:t>Kurumsal İletişim</w:t>
      </w:r>
      <w:r w:rsidRPr="0022066D">
        <w:rPr>
          <w:rFonts w:ascii="Arial" w:hAnsi="Arial" w:cs="Arial"/>
          <w:b/>
          <w:sz w:val="16"/>
          <w:szCs w:val="16"/>
        </w:rPr>
        <w:br/>
      </w:r>
      <w:r w:rsidRPr="0022066D">
        <w:rPr>
          <w:rFonts w:ascii="Arial" w:hAnsi="Arial" w:cs="Arial"/>
          <w:sz w:val="16"/>
          <w:szCs w:val="16"/>
        </w:rPr>
        <w:t>Hakan Zengin / 0216 322 96 70 / hakan.zengin@thbb.org</w:t>
      </w:r>
    </w:p>
    <w:p w14:paraId="470BE777" w14:textId="77777777" w:rsidR="00BC1E27" w:rsidRPr="0022066D" w:rsidRDefault="00BC1E27" w:rsidP="007800F7">
      <w:pPr>
        <w:pStyle w:val="AralkYok1"/>
        <w:spacing w:line="276" w:lineRule="auto"/>
        <w:contextualSpacing/>
        <w:rPr>
          <w:rFonts w:ascii="Arial" w:hAnsi="Arial" w:cs="Arial"/>
          <w:sz w:val="16"/>
          <w:szCs w:val="16"/>
        </w:rPr>
      </w:pPr>
      <w:r w:rsidRPr="0022066D">
        <w:rPr>
          <w:rFonts w:ascii="Arial" w:hAnsi="Arial" w:cs="Arial"/>
          <w:sz w:val="16"/>
          <w:szCs w:val="16"/>
        </w:rPr>
        <w:t xml:space="preserve">Yasemin Çankaya Anıl / 0216 322 96 70 / </w:t>
      </w:r>
      <w:r w:rsidR="008E2225" w:rsidRPr="0022066D">
        <w:rPr>
          <w:rFonts w:ascii="Arial" w:hAnsi="Arial" w:cs="Arial"/>
          <w:sz w:val="16"/>
          <w:szCs w:val="16"/>
        </w:rPr>
        <w:t>yasemin.cankaya@thbb.org</w:t>
      </w:r>
      <w:r w:rsidR="008E2225" w:rsidRPr="0022066D">
        <w:rPr>
          <w:rFonts w:ascii="Arial" w:hAnsi="Arial" w:cs="Arial"/>
          <w:sz w:val="16"/>
          <w:szCs w:val="16"/>
        </w:rPr>
        <w:tab/>
      </w:r>
    </w:p>
    <w:sectPr w:rsidR="00BC1E27" w:rsidRPr="0022066D" w:rsidSect="00AC785B">
      <w:pgSz w:w="11906" w:h="16838"/>
      <w:pgMar w:top="568"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şat Sönmez">
    <w15:presenceInfo w15:providerId="AD" w15:userId="S::selcukucar@hazirbeton.onmicrosoft.com::3cf6dad8-f478-4a94-a147-23dc16662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27"/>
    <w:rsid w:val="00002545"/>
    <w:rsid w:val="0000406C"/>
    <w:rsid w:val="000142B4"/>
    <w:rsid w:val="00015216"/>
    <w:rsid w:val="000301FD"/>
    <w:rsid w:val="0003102D"/>
    <w:rsid w:val="000312FD"/>
    <w:rsid w:val="000440F9"/>
    <w:rsid w:val="00044283"/>
    <w:rsid w:val="0005122F"/>
    <w:rsid w:val="00053DCD"/>
    <w:rsid w:val="0005544A"/>
    <w:rsid w:val="00057988"/>
    <w:rsid w:val="00080876"/>
    <w:rsid w:val="00082EE0"/>
    <w:rsid w:val="0008589F"/>
    <w:rsid w:val="0009338F"/>
    <w:rsid w:val="000963BE"/>
    <w:rsid w:val="000A0755"/>
    <w:rsid w:val="000A144B"/>
    <w:rsid w:val="000B2D15"/>
    <w:rsid w:val="000B6063"/>
    <w:rsid w:val="000C3DD0"/>
    <w:rsid w:val="000C51C7"/>
    <w:rsid w:val="000D7872"/>
    <w:rsid w:val="000F5905"/>
    <w:rsid w:val="000F6ACF"/>
    <w:rsid w:val="00110ADB"/>
    <w:rsid w:val="00114134"/>
    <w:rsid w:val="001242F3"/>
    <w:rsid w:val="00131534"/>
    <w:rsid w:val="00131D7F"/>
    <w:rsid w:val="00153E04"/>
    <w:rsid w:val="001548D4"/>
    <w:rsid w:val="00163FFE"/>
    <w:rsid w:val="001651BC"/>
    <w:rsid w:val="00190AFE"/>
    <w:rsid w:val="00191263"/>
    <w:rsid w:val="00192B83"/>
    <w:rsid w:val="001A0D5E"/>
    <w:rsid w:val="001A151A"/>
    <w:rsid w:val="001A2F57"/>
    <w:rsid w:val="001C5AD9"/>
    <w:rsid w:val="001F4AF7"/>
    <w:rsid w:val="002047FA"/>
    <w:rsid w:val="00207093"/>
    <w:rsid w:val="00214A45"/>
    <w:rsid w:val="0022066D"/>
    <w:rsid w:val="00235570"/>
    <w:rsid w:val="00245647"/>
    <w:rsid w:val="0025005F"/>
    <w:rsid w:val="002502EA"/>
    <w:rsid w:val="00251B51"/>
    <w:rsid w:val="002646B6"/>
    <w:rsid w:val="002736BE"/>
    <w:rsid w:val="0027466D"/>
    <w:rsid w:val="002751EF"/>
    <w:rsid w:val="00281B65"/>
    <w:rsid w:val="002B023F"/>
    <w:rsid w:val="002B240D"/>
    <w:rsid w:val="002C5A3D"/>
    <w:rsid w:val="002D458A"/>
    <w:rsid w:val="002D7D36"/>
    <w:rsid w:val="002D7EAE"/>
    <w:rsid w:val="002E3CC0"/>
    <w:rsid w:val="00300D53"/>
    <w:rsid w:val="0030154E"/>
    <w:rsid w:val="00304EAD"/>
    <w:rsid w:val="00310050"/>
    <w:rsid w:val="00315515"/>
    <w:rsid w:val="00327BAB"/>
    <w:rsid w:val="0033235C"/>
    <w:rsid w:val="003450C2"/>
    <w:rsid w:val="00345D09"/>
    <w:rsid w:val="00347372"/>
    <w:rsid w:val="0035243F"/>
    <w:rsid w:val="00362340"/>
    <w:rsid w:val="00371347"/>
    <w:rsid w:val="00384D4B"/>
    <w:rsid w:val="00386898"/>
    <w:rsid w:val="00390074"/>
    <w:rsid w:val="003A018C"/>
    <w:rsid w:val="003A1E54"/>
    <w:rsid w:val="003C116F"/>
    <w:rsid w:val="003E2CDC"/>
    <w:rsid w:val="003E3968"/>
    <w:rsid w:val="003F7653"/>
    <w:rsid w:val="0040023A"/>
    <w:rsid w:val="00437F3A"/>
    <w:rsid w:val="00442AD2"/>
    <w:rsid w:val="004462BC"/>
    <w:rsid w:val="004506B8"/>
    <w:rsid w:val="00464DD3"/>
    <w:rsid w:val="00470D17"/>
    <w:rsid w:val="004851E7"/>
    <w:rsid w:val="004930F0"/>
    <w:rsid w:val="004C4614"/>
    <w:rsid w:val="004D3B44"/>
    <w:rsid w:val="004E016C"/>
    <w:rsid w:val="004E0C19"/>
    <w:rsid w:val="004E62C3"/>
    <w:rsid w:val="004F0C96"/>
    <w:rsid w:val="004F17CF"/>
    <w:rsid w:val="004F4487"/>
    <w:rsid w:val="00501041"/>
    <w:rsid w:val="00512390"/>
    <w:rsid w:val="00513CB6"/>
    <w:rsid w:val="00522236"/>
    <w:rsid w:val="00523F8C"/>
    <w:rsid w:val="0052423B"/>
    <w:rsid w:val="00525278"/>
    <w:rsid w:val="0053108B"/>
    <w:rsid w:val="00531B78"/>
    <w:rsid w:val="00536E26"/>
    <w:rsid w:val="00553B34"/>
    <w:rsid w:val="0056118B"/>
    <w:rsid w:val="00571A67"/>
    <w:rsid w:val="00585A9F"/>
    <w:rsid w:val="00585E6A"/>
    <w:rsid w:val="00597510"/>
    <w:rsid w:val="005A03FE"/>
    <w:rsid w:val="005A5609"/>
    <w:rsid w:val="005B5FE7"/>
    <w:rsid w:val="005B76F4"/>
    <w:rsid w:val="005D044D"/>
    <w:rsid w:val="005D51BF"/>
    <w:rsid w:val="005D5DEA"/>
    <w:rsid w:val="005E017F"/>
    <w:rsid w:val="005E2647"/>
    <w:rsid w:val="005E425D"/>
    <w:rsid w:val="005F051F"/>
    <w:rsid w:val="005F1B57"/>
    <w:rsid w:val="005F707A"/>
    <w:rsid w:val="0060100B"/>
    <w:rsid w:val="006037D9"/>
    <w:rsid w:val="00622D7F"/>
    <w:rsid w:val="00624C49"/>
    <w:rsid w:val="00641EC7"/>
    <w:rsid w:val="0064468B"/>
    <w:rsid w:val="006510B5"/>
    <w:rsid w:val="0065295F"/>
    <w:rsid w:val="00654EF9"/>
    <w:rsid w:val="00656943"/>
    <w:rsid w:val="006621B4"/>
    <w:rsid w:val="006744B5"/>
    <w:rsid w:val="0069421A"/>
    <w:rsid w:val="006B2EC7"/>
    <w:rsid w:val="006C08B6"/>
    <w:rsid w:val="006C7D47"/>
    <w:rsid w:val="006D3079"/>
    <w:rsid w:val="006D30F8"/>
    <w:rsid w:val="006D71C3"/>
    <w:rsid w:val="006E3C18"/>
    <w:rsid w:val="006E5CBE"/>
    <w:rsid w:val="007024AD"/>
    <w:rsid w:val="007048B6"/>
    <w:rsid w:val="00711A06"/>
    <w:rsid w:val="007129C6"/>
    <w:rsid w:val="0071547D"/>
    <w:rsid w:val="0072397C"/>
    <w:rsid w:val="00730300"/>
    <w:rsid w:val="00740C09"/>
    <w:rsid w:val="00743D94"/>
    <w:rsid w:val="00743DD1"/>
    <w:rsid w:val="00752A95"/>
    <w:rsid w:val="007800F7"/>
    <w:rsid w:val="00780978"/>
    <w:rsid w:val="00780CD4"/>
    <w:rsid w:val="007822E6"/>
    <w:rsid w:val="00794514"/>
    <w:rsid w:val="007A6B72"/>
    <w:rsid w:val="007A6B9E"/>
    <w:rsid w:val="007C3ABB"/>
    <w:rsid w:val="007C5724"/>
    <w:rsid w:val="007C7D70"/>
    <w:rsid w:val="007D57FC"/>
    <w:rsid w:val="007F0F7D"/>
    <w:rsid w:val="00822144"/>
    <w:rsid w:val="008252C9"/>
    <w:rsid w:val="008254A0"/>
    <w:rsid w:val="00831417"/>
    <w:rsid w:val="00832A66"/>
    <w:rsid w:val="00835FE6"/>
    <w:rsid w:val="008434C4"/>
    <w:rsid w:val="0085008B"/>
    <w:rsid w:val="00854AA7"/>
    <w:rsid w:val="0085702C"/>
    <w:rsid w:val="00866067"/>
    <w:rsid w:val="0086724A"/>
    <w:rsid w:val="00875DBF"/>
    <w:rsid w:val="00885C54"/>
    <w:rsid w:val="00887BC4"/>
    <w:rsid w:val="008A0DC0"/>
    <w:rsid w:val="008A4176"/>
    <w:rsid w:val="008A7538"/>
    <w:rsid w:val="008B0C8B"/>
    <w:rsid w:val="008B54AB"/>
    <w:rsid w:val="008B580B"/>
    <w:rsid w:val="008C49C8"/>
    <w:rsid w:val="008D2534"/>
    <w:rsid w:val="008D403C"/>
    <w:rsid w:val="008E2225"/>
    <w:rsid w:val="008E4C81"/>
    <w:rsid w:val="008F0B73"/>
    <w:rsid w:val="009015F5"/>
    <w:rsid w:val="00906086"/>
    <w:rsid w:val="0091742F"/>
    <w:rsid w:val="009317B7"/>
    <w:rsid w:val="00953BD4"/>
    <w:rsid w:val="00954A28"/>
    <w:rsid w:val="00955ACB"/>
    <w:rsid w:val="00957780"/>
    <w:rsid w:val="00971188"/>
    <w:rsid w:val="009732BE"/>
    <w:rsid w:val="00973AA8"/>
    <w:rsid w:val="00973BF5"/>
    <w:rsid w:val="00980E23"/>
    <w:rsid w:val="00987E20"/>
    <w:rsid w:val="009917C0"/>
    <w:rsid w:val="00996234"/>
    <w:rsid w:val="009A0722"/>
    <w:rsid w:val="009B0405"/>
    <w:rsid w:val="009B2FD8"/>
    <w:rsid w:val="009B323A"/>
    <w:rsid w:val="009C310E"/>
    <w:rsid w:val="009C483D"/>
    <w:rsid w:val="009C7F13"/>
    <w:rsid w:val="009D5149"/>
    <w:rsid w:val="009E282E"/>
    <w:rsid w:val="009E723D"/>
    <w:rsid w:val="009F281E"/>
    <w:rsid w:val="009F6830"/>
    <w:rsid w:val="009F7D5A"/>
    <w:rsid w:val="00A004B2"/>
    <w:rsid w:val="00A00890"/>
    <w:rsid w:val="00A0398D"/>
    <w:rsid w:val="00A2535B"/>
    <w:rsid w:val="00A27078"/>
    <w:rsid w:val="00A3449D"/>
    <w:rsid w:val="00A563AF"/>
    <w:rsid w:val="00A822DA"/>
    <w:rsid w:val="00A827A0"/>
    <w:rsid w:val="00AB352F"/>
    <w:rsid w:val="00AB3D6E"/>
    <w:rsid w:val="00AB4AAC"/>
    <w:rsid w:val="00AB7B7E"/>
    <w:rsid w:val="00AC0AE3"/>
    <w:rsid w:val="00AC785B"/>
    <w:rsid w:val="00AD05D0"/>
    <w:rsid w:val="00AD1601"/>
    <w:rsid w:val="00AF370C"/>
    <w:rsid w:val="00B038EF"/>
    <w:rsid w:val="00B0446E"/>
    <w:rsid w:val="00B1218B"/>
    <w:rsid w:val="00B409E3"/>
    <w:rsid w:val="00B57758"/>
    <w:rsid w:val="00B577B4"/>
    <w:rsid w:val="00B64AD9"/>
    <w:rsid w:val="00B7341F"/>
    <w:rsid w:val="00B87784"/>
    <w:rsid w:val="00B9372F"/>
    <w:rsid w:val="00B967B8"/>
    <w:rsid w:val="00BA155E"/>
    <w:rsid w:val="00BA2550"/>
    <w:rsid w:val="00BA7967"/>
    <w:rsid w:val="00BB1183"/>
    <w:rsid w:val="00BB7D02"/>
    <w:rsid w:val="00BC1E27"/>
    <w:rsid w:val="00BC301A"/>
    <w:rsid w:val="00BC3ECE"/>
    <w:rsid w:val="00BC773B"/>
    <w:rsid w:val="00BC7B3A"/>
    <w:rsid w:val="00BD0205"/>
    <w:rsid w:val="00BD6870"/>
    <w:rsid w:val="00BE174F"/>
    <w:rsid w:val="00BF6CE6"/>
    <w:rsid w:val="00C0241F"/>
    <w:rsid w:val="00C10367"/>
    <w:rsid w:val="00C11B7F"/>
    <w:rsid w:val="00C13EA4"/>
    <w:rsid w:val="00C274B4"/>
    <w:rsid w:val="00C409D7"/>
    <w:rsid w:val="00C51EA7"/>
    <w:rsid w:val="00C61482"/>
    <w:rsid w:val="00C6188A"/>
    <w:rsid w:val="00CB28BE"/>
    <w:rsid w:val="00CC180D"/>
    <w:rsid w:val="00CC1B13"/>
    <w:rsid w:val="00CC5A59"/>
    <w:rsid w:val="00CD2ACE"/>
    <w:rsid w:val="00CE5093"/>
    <w:rsid w:val="00CE68F8"/>
    <w:rsid w:val="00CE72AF"/>
    <w:rsid w:val="00CF4925"/>
    <w:rsid w:val="00CF6903"/>
    <w:rsid w:val="00D0124D"/>
    <w:rsid w:val="00D12BFA"/>
    <w:rsid w:val="00D12CDE"/>
    <w:rsid w:val="00D23BBB"/>
    <w:rsid w:val="00D2400E"/>
    <w:rsid w:val="00D30D13"/>
    <w:rsid w:val="00D33571"/>
    <w:rsid w:val="00D356E3"/>
    <w:rsid w:val="00D37FC3"/>
    <w:rsid w:val="00D61097"/>
    <w:rsid w:val="00D64E76"/>
    <w:rsid w:val="00D81E74"/>
    <w:rsid w:val="00D82E93"/>
    <w:rsid w:val="00D853B6"/>
    <w:rsid w:val="00D90C8C"/>
    <w:rsid w:val="00DA707B"/>
    <w:rsid w:val="00DC2128"/>
    <w:rsid w:val="00DD2139"/>
    <w:rsid w:val="00E00B13"/>
    <w:rsid w:val="00E218FD"/>
    <w:rsid w:val="00E259AB"/>
    <w:rsid w:val="00E26B64"/>
    <w:rsid w:val="00E30EA2"/>
    <w:rsid w:val="00E37424"/>
    <w:rsid w:val="00E40EC8"/>
    <w:rsid w:val="00E4581E"/>
    <w:rsid w:val="00E46346"/>
    <w:rsid w:val="00E46816"/>
    <w:rsid w:val="00E52E42"/>
    <w:rsid w:val="00E75CB4"/>
    <w:rsid w:val="00E81793"/>
    <w:rsid w:val="00E844E3"/>
    <w:rsid w:val="00E873D4"/>
    <w:rsid w:val="00E93217"/>
    <w:rsid w:val="00E9798D"/>
    <w:rsid w:val="00EA1DAC"/>
    <w:rsid w:val="00EA22F2"/>
    <w:rsid w:val="00EA6C6A"/>
    <w:rsid w:val="00EB01A9"/>
    <w:rsid w:val="00EB6C02"/>
    <w:rsid w:val="00EC2EF1"/>
    <w:rsid w:val="00EC45F0"/>
    <w:rsid w:val="00ED0A74"/>
    <w:rsid w:val="00ED622F"/>
    <w:rsid w:val="00EE1D26"/>
    <w:rsid w:val="00EF0963"/>
    <w:rsid w:val="00EF585A"/>
    <w:rsid w:val="00F02E2A"/>
    <w:rsid w:val="00F10C33"/>
    <w:rsid w:val="00F10E65"/>
    <w:rsid w:val="00F3413C"/>
    <w:rsid w:val="00F401AC"/>
    <w:rsid w:val="00F52A03"/>
    <w:rsid w:val="00F52CD6"/>
    <w:rsid w:val="00F65D44"/>
    <w:rsid w:val="00F672D4"/>
    <w:rsid w:val="00F7359A"/>
    <w:rsid w:val="00F76564"/>
    <w:rsid w:val="00F778CE"/>
    <w:rsid w:val="00FA67B6"/>
    <w:rsid w:val="00FA6C7A"/>
    <w:rsid w:val="00FB3127"/>
    <w:rsid w:val="00FC0E5B"/>
    <w:rsid w:val="00FD09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A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E27"/>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E27"/>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bb.org/basin-oda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ocuments\2021%20a&#287;usto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ocuments\2021%20a&#287;ust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046"/>
          <c:y val="9.0594347777068387E-2"/>
          <c:w val="0.85787234156959258"/>
          <c:h val="0.71898240361448484"/>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sonuçları'!$AY$1:$BK$1</c:f>
              <c:strCache>
                <c:ptCount val="13"/>
                <c:pt idx="0">
                  <c:v>Ağustos</c:v>
                </c:pt>
                <c:pt idx="1">
                  <c:v>Eylül</c:v>
                </c:pt>
                <c:pt idx="2">
                  <c:v>Ekim</c:v>
                </c:pt>
                <c:pt idx="3">
                  <c:v>Kasım</c:v>
                </c:pt>
                <c:pt idx="4">
                  <c:v>Aralık</c:v>
                </c:pt>
                <c:pt idx="5">
                  <c:v>2021 Ocak</c:v>
                </c:pt>
                <c:pt idx="6">
                  <c:v>Şubat</c:v>
                </c:pt>
                <c:pt idx="7">
                  <c:v>Mart</c:v>
                </c:pt>
                <c:pt idx="8">
                  <c:v>Nisan</c:v>
                </c:pt>
                <c:pt idx="9">
                  <c:v>Mayıs</c:v>
                </c:pt>
                <c:pt idx="10">
                  <c:v>Haziran</c:v>
                </c:pt>
                <c:pt idx="11">
                  <c:v>Temmuz</c:v>
                </c:pt>
                <c:pt idx="12">
                  <c:v>Ağustos</c:v>
                </c:pt>
              </c:strCache>
            </c:strRef>
          </c:cat>
          <c:val>
            <c:numRef>
              <c:f>'endeks sonuçları'!$AY$2:$BK$2</c:f>
              <c:numCache>
                <c:formatCode>General</c:formatCode>
                <c:ptCount val="13"/>
                <c:pt idx="0">
                  <c:v>100.43333333333334</c:v>
                </c:pt>
                <c:pt idx="1">
                  <c:v>101.26666666666667</c:v>
                </c:pt>
                <c:pt idx="2">
                  <c:v>101.40000000000002</c:v>
                </c:pt>
                <c:pt idx="3">
                  <c:v>100.33333333333333</c:v>
                </c:pt>
                <c:pt idx="4">
                  <c:v>100.60000000000001</c:v>
                </c:pt>
                <c:pt idx="5">
                  <c:v>99.4</c:v>
                </c:pt>
                <c:pt idx="6">
                  <c:v>99.8</c:v>
                </c:pt>
                <c:pt idx="7">
                  <c:v>100.8</c:v>
                </c:pt>
                <c:pt idx="8">
                  <c:v>100.13333333333333</c:v>
                </c:pt>
                <c:pt idx="9">
                  <c:v>99.733333333333334</c:v>
                </c:pt>
                <c:pt idx="10">
                  <c:v>101.73333333333333</c:v>
                </c:pt>
                <c:pt idx="11">
                  <c:v>99.933333333333337</c:v>
                </c:pt>
                <c:pt idx="12">
                  <c:v>100.83333333333333</c:v>
                </c:pt>
              </c:numCache>
            </c:numRef>
          </c:val>
          <c:smooth val="0"/>
          <c:extLst xmlns:c16r2="http://schemas.microsoft.com/office/drawing/2015/06/chart">
            <c:ext xmlns:c16="http://schemas.microsoft.com/office/drawing/2014/chart" uri="{C3380CC4-5D6E-409C-BE32-E72D297353CC}">
              <c16:uniqueId val="{00000000-1762-485C-B0F5-79889F4444DF}"/>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sonuçları'!$AY$1:$BK$1</c:f>
              <c:strCache>
                <c:ptCount val="13"/>
                <c:pt idx="0">
                  <c:v>Ağustos</c:v>
                </c:pt>
                <c:pt idx="1">
                  <c:v>Eylül</c:v>
                </c:pt>
                <c:pt idx="2">
                  <c:v>Ekim</c:v>
                </c:pt>
                <c:pt idx="3">
                  <c:v>Kasım</c:v>
                </c:pt>
                <c:pt idx="4">
                  <c:v>Aralık</c:v>
                </c:pt>
                <c:pt idx="5">
                  <c:v>2021 Ocak</c:v>
                </c:pt>
                <c:pt idx="6">
                  <c:v>Şubat</c:v>
                </c:pt>
                <c:pt idx="7">
                  <c:v>Mart</c:v>
                </c:pt>
                <c:pt idx="8">
                  <c:v>Nisan</c:v>
                </c:pt>
                <c:pt idx="9">
                  <c:v>Mayıs</c:v>
                </c:pt>
                <c:pt idx="10">
                  <c:v>Haziran</c:v>
                </c:pt>
                <c:pt idx="11">
                  <c:v>Temmuz</c:v>
                </c:pt>
                <c:pt idx="12">
                  <c:v>Ağustos</c:v>
                </c:pt>
              </c:strCache>
            </c:strRef>
          </c:cat>
          <c:val>
            <c:numRef>
              <c:f>'endeks sonuçları'!$AY$3:$BK$3</c:f>
              <c:numCache>
                <c:formatCode>General</c:formatCode>
                <c:ptCount val="13"/>
                <c:pt idx="0">
                  <c:v>99.8</c:v>
                </c:pt>
                <c:pt idx="1">
                  <c:v>99.949999999999989</c:v>
                </c:pt>
                <c:pt idx="2">
                  <c:v>99.1</c:v>
                </c:pt>
                <c:pt idx="3">
                  <c:v>99.4</c:v>
                </c:pt>
                <c:pt idx="4">
                  <c:v>99.8</c:v>
                </c:pt>
                <c:pt idx="5">
                  <c:v>100.30000000000001</c:v>
                </c:pt>
                <c:pt idx="6">
                  <c:v>100.30000000000001</c:v>
                </c:pt>
                <c:pt idx="7">
                  <c:v>99.8</c:v>
                </c:pt>
                <c:pt idx="8">
                  <c:v>99.699999999999989</c:v>
                </c:pt>
                <c:pt idx="9">
                  <c:v>100</c:v>
                </c:pt>
                <c:pt idx="10">
                  <c:v>99.5</c:v>
                </c:pt>
                <c:pt idx="11">
                  <c:v>99.55</c:v>
                </c:pt>
                <c:pt idx="12">
                  <c:v>100.1</c:v>
                </c:pt>
              </c:numCache>
            </c:numRef>
          </c:val>
          <c:smooth val="0"/>
          <c:extLst xmlns:c16r2="http://schemas.microsoft.com/office/drawing/2015/06/chart">
            <c:ext xmlns:c16="http://schemas.microsoft.com/office/drawing/2014/chart" uri="{C3380CC4-5D6E-409C-BE32-E72D297353CC}">
              <c16:uniqueId val="{00000001-1762-485C-B0F5-79889F4444DF}"/>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sonuçları'!$AY$1:$BK$1</c:f>
              <c:strCache>
                <c:ptCount val="13"/>
                <c:pt idx="0">
                  <c:v>Ağustos</c:v>
                </c:pt>
                <c:pt idx="1">
                  <c:v>Eylül</c:v>
                </c:pt>
                <c:pt idx="2">
                  <c:v>Ekim</c:v>
                </c:pt>
                <c:pt idx="3">
                  <c:v>Kasım</c:v>
                </c:pt>
                <c:pt idx="4">
                  <c:v>Aralık</c:v>
                </c:pt>
                <c:pt idx="5">
                  <c:v>2021 Ocak</c:v>
                </c:pt>
                <c:pt idx="6">
                  <c:v>Şubat</c:v>
                </c:pt>
                <c:pt idx="7">
                  <c:v>Mart</c:v>
                </c:pt>
                <c:pt idx="8">
                  <c:v>Nisan</c:v>
                </c:pt>
                <c:pt idx="9">
                  <c:v>Mayıs</c:v>
                </c:pt>
                <c:pt idx="10">
                  <c:v>Haziran</c:v>
                </c:pt>
                <c:pt idx="11">
                  <c:v>Temmuz</c:v>
                </c:pt>
                <c:pt idx="12">
                  <c:v>Ağustos</c:v>
                </c:pt>
              </c:strCache>
            </c:strRef>
          </c:cat>
          <c:val>
            <c:numRef>
              <c:f>'endeks sonuçları'!$AY$4:$BK$4</c:f>
              <c:numCache>
                <c:formatCode>General</c:formatCode>
                <c:ptCount val="13"/>
                <c:pt idx="0">
                  <c:v>100.75</c:v>
                </c:pt>
                <c:pt idx="1">
                  <c:v>100.35</c:v>
                </c:pt>
                <c:pt idx="2">
                  <c:v>99.4</c:v>
                </c:pt>
                <c:pt idx="3">
                  <c:v>99.8</c:v>
                </c:pt>
                <c:pt idx="4">
                  <c:v>100.2</c:v>
                </c:pt>
                <c:pt idx="5">
                  <c:v>101.2</c:v>
                </c:pt>
                <c:pt idx="6">
                  <c:v>100.3</c:v>
                </c:pt>
                <c:pt idx="7">
                  <c:v>99.9</c:v>
                </c:pt>
                <c:pt idx="8">
                  <c:v>99.8</c:v>
                </c:pt>
                <c:pt idx="9">
                  <c:v>100.8</c:v>
                </c:pt>
                <c:pt idx="10">
                  <c:v>100.5</c:v>
                </c:pt>
                <c:pt idx="11">
                  <c:v>99.85</c:v>
                </c:pt>
                <c:pt idx="12">
                  <c:v>100.3</c:v>
                </c:pt>
              </c:numCache>
            </c:numRef>
          </c:val>
          <c:smooth val="0"/>
          <c:extLst xmlns:c16r2="http://schemas.microsoft.com/office/drawing/2015/06/chart">
            <c:ext xmlns:c16="http://schemas.microsoft.com/office/drawing/2014/chart" uri="{C3380CC4-5D6E-409C-BE32-E72D297353CC}">
              <c16:uniqueId val="{00000002-1762-485C-B0F5-79889F4444DF}"/>
            </c:ext>
          </c:extLst>
        </c:ser>
        <c:ser>
          <c:idx val="3"/>
          <c:order val="3"/>
          <c:tx>
            <c:strRef>
              <c:f>'endeks sonuçları'!$A$5</c:f>
              <c:strCache>
                <c:ptCount val="1"/>
                <c:pt idx="0">
                  <c:v>Hazır Beton Endeksi</c:v>
                </c:pt>
              </c:strCache>
            </c:strRef>
          </c:tx>
          <c:spPr>
            <a:ln w="63500" cap="rnd">
              <a:solidFill>
                <a:schemeClr val="accent4">
                  <a:alpha val="60000"/>
                </a:schemeClr>
              </a:solidFill>
              <a:round/>
            </a:ln>
            <a:effectLst/>
          </c:spPr>
          <c:marker>
            <c:symbol val="none"/>
          </c:marker>
          <c:dLbls>
            <c:delete val="1"/>
          </c:dLbls>
          <c:cat>
            <c:strRef>
              <c:f>'endeks sonuçları'!$AY$1:$BK$1</c:f>
              <c:strCache>
                <c:ptCount val="13"/>
                <c:pt idx="0">
                  <c:v>Ağustos</c:v>
                </c:pt>
                <c:pt idx="1">
                  <c:v>Eylül</c:v>
                </c:pt>
                <c:pt idx="2">
                  <c:v>Ekim</c:v>
                </c:pt>
                <c:pt idx="3">
                  <c:v>Kasım</c:v>
                </c:pt>
                <c:pt idx="4">
                  <c:v>Aralık</c:v>
                </c:pt>
                <c:pt idx="5">
                  <c:v>2021 Ocak</c:v>
                </c:pt>
                <c:pt idx="6">
                  <c:v>Şubat</c:v>
                </c:pt>
                <c:pt idx="7">
                  <c:v>Mart</c:v>
                </c:pt>
                <c:pt idx="8">
                  <c:v>Nisan</c:v>
                </c:pt>
                <c:pt idx="9">
                  <c:v>Mayıs</c:v>
                </c:pt>
                <c:pt idx="10">
                  <c:v>Haziran</c:v>
                </c:pt>
                <c:pt idx="11">
                  <c:v>Temmuz</c:v>
                </c:pt>
                <c:pt idx="12">
                  <c:v>Ağustos</c:v>
                </c:pt>
              </c:strCache>
            </c:strRef>
          </c:cat>
          <c:val>
            <c:numRef>
              <c:f>'endeks sonuçları'!$AY$5:$BK$5</c:f>
              <c:numCache>
                <c:formatCode>General</c:formatCode>
                <c:ptCount val="13"/>
                <c:pt idx="0">
                  <c:v>100.32777777777778</c:v>
                </c:pt>
                <c:pt idx="1">
                  <c:v>100.5222222222222</c:v>
                </c:pt>
                <c:pt idx="2">
                  <c:v>99.966666666666654</c:v>
                </c:pt>
                <c:pt idx="3">
                  <c:v>99.844444444444449</c:v>
                </c:pt>
                <c:pt idx="4">
                  <c:v>100.2</c:v>
                </c:pt>
                <c:pt idx="5">
                  <c:v>100.3</c:v>
                </c:pt>
                <c:pt idx="6">
                  <c:v>100.13333333333334</c:v>
                </c:pt>
                <c:pt idx="7">
                  <c:v>100.16666666666667</c:v>
                </c:pt>
                <c:pt idx="8">
                  <c:v>99.87777777777778</c:v>
                </c:pt>
                <c:pt idx="9">
                  <c:v>100.17777777777779</c:v>
                </c:pt>
                <c:pt idx="10">
                  <c:v>100.57777777777778</c:v>
                </c:pt>
                <c:pt idx="11">
                  <c:v>99.777777777777786</c:v>
                </c:pt>
                <c:pt idx="12">
                  <c:v>100.41111111111111</c:v>
                </c:pt>
              </c:numCache>
            </c:numRef>
          </c:val>
          <c:smooth val="0"/>
          <c:extLst xmlns:c16r2="http://schemas.microsoft.com/office/drawing/2015/06/chart">
            <c:ext xmlns:c16="http://schemas.microsoft.com/office/drawing/2014/chart" uri="{C3380CC4-5D6E-409C-BE32-E72D297353CC}">
              <c16:uniqueId val="{00000003-1762-485C-B0F5-79889F4444DF}"/>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sonuçları'!$AY$1:$BK$1</c:f>
              <c:strCache>
                <c:ptCount val="13"/>
                <c:pt idx="0">
                  <c:v>Ağustos</c:v>
                </c:pt>
                <c:pt idx="1">
                  <c:v>Eylül</c:v>
                </c:pt>
                <c:pt idx="2">
                  <c:v>Ekim</c:v>
                </c:pt>
                <c:pt idx="3">
                  <c:v>Kasım</c:v>
                </c:pt>
                <c:pt idx="4">
                  <c:v>Aralık</c:v>
                </c:pt>
                <c:pt idx="5">
                  <c:v>2021 Ocak</c:v>
                </c:pt>
                <c:pt idx="6">
                  <c:v>Şubat</c:v>
                </c:pt>
                <c:pt idx="7">
                  <c:v>Mart</c:v>
                </c:pt>
                <c:pt idx="8">
                  <c:v>Nisan</c:v>
                </c:pt>
                <c:pt idx="9">
                  <c:v>Mayıs</c:v>
                </c:pt>
                <c:pt idx="10">
                  <c:v>Haziran</c:v>
                </c:pt>
                <c:pt idx="11">
                  <c:v>Temmuz</c:v>
                </c:pt>
                <c:pt idx="12">
                  <c:v>Ağustos</c:v>
                </c:pt>
              </c:strCache>
            </c:strRef>
          </c:cat>
          <c:val>
            <c:numRef>
              <c:f>'endeks sonuçları'!$AY$6:$BK$6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xmlns:c16r2="http://schemas.microsoft.com/office/drawing/2015/06/chart">
            <c:ext xmlns:c16="http://schemas.microsoft.com/office/drawing/2014/chart" uri="{C3380CC4-5D6E-409C-BE32-E72D297353CC}">
              <c16:uniqueId val="{00000004-1762-485C-B0F5-79889F4444DF}"/>
            </c:ext>
          </c:extLst>
        </c:ser>
        <c:dLbls>
          <c:showLegendKey val="0"/>
          <c:showVal val="1"/>
          <c:showCatName val="0"/>
          <c:showSerName val="0"/>
          <c:showPercent val="0"/>
          <c:showBubbleSize val="0"/>
        </c:dLbls>
        <c:marker val="1"/>
        <c:smooth val="0"/>
        <c:axId val="148517376"/>
        <c:axId val="143483456"/>
      </c:lineChart>
      <c:catAx>
        <c:axId val="148517376"/>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43483456"/>
        <c:crosses val="autoZero"/>
        <c:auto val="1"/>
        <c:lblAlgn val="ctr"/>
        <c:lblOffset val="100"/>
        <c:noMultiLvlLbl val="0"/>
      </c:catAx>
      <c:valAx>
        <c:axId val="143483456"/>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General"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48517376"/>
        <c:crosses val="autoZero"/>
        <c:crossBetween val="between"/>
      </c:valAx>
      <c:spPr>
        <a:noFill/>
        <a:ln>
          <a:noFill/>
        </a:ln>
        <a:effectLst/>
      </c:spPr>
    </c:plotArea>
    <c:legend>
      <c:legendPos val="b"/>
      <c:legendEntry>
        <c:idx val="4"/>
        <c:delete val="1"/>
      </c:legendEntry>
      <c:layout>
        <c:manualLayout>
          <c:xMode val="edge"/>
          <c:yMode val="edge"/>
          <c:x val="0.25009848886331204"/>
          <c:y val="0.65497830359145248"/>
          <c:w val="0.59165168493229958"/>
          <c:h val="0.11654235347939208"/>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1.2881064834693002E-2"/>
                  <c:y val="-5.736567662819193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96E-4407-AEB3-D0DF362DC378}"/>
                </c:ext>
              </c:extLst>
            </c:dLbl>
            <c:dLbl>
              <c:idx val="1"/>
              <c:layout>
                <c:manualLayout>
                  <c:x val="-1.1876159152876401E-3"/>
                  <c:y val="-4.16666666666666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096E-4407-AEB3-D0DF362DC378}"/>
                </c:ext>
              </c:extLst>
            </c:dLbl>
            <c:dLbl>
              <c:idx val="2"/>
              <c:layout>
                <c:manualLayout>
                  <c:x val="0"/>
                  <c:y val="-4.166666666666662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096E-4407-AEB3-D0DF362DC378}"/>
                </c:ext>
              </c:extLst>
            </c:dLbl>
            <c:dLbl>
              <c:idx val="3"/>
              <c:layout>
                <c:manualLayout>
                  <c:x val="9.369785949786462E-4"/>
                  <c:y val="-1.948184055993525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96E-4407-AEB3-D0DF362DC378}"/>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sonuçları'!$BL$2:$BL$5</c:f>
              <c:numCache>
                <c:formatCode>0.0%</c:formatCode>
                <c:ptCount val="4"/>
                <c:pt idx="0">
                  <c:v>3.9827414537005456E-3</c:v>
                </c:pt>
                <c:pt idx="1">
                  <c:v>3.006012024048068E-3</c:v>
                </c:pt>
                <c:pt idx="2">
                  <c:v>-4.4665012406948177E-3</c:v>
                </c:pt>
                <c:pt idx="3">
                  <c:v>8.3061077579041733E-4</c:v>
                </c:pt>
              </c:numCache>
            </c:numRef>
          </c:val>
          <c:extLst xmlns:c16r2="http://schemas.microsoft.com/office/drawing/2015/06/chart">
            <c:ext xmlns:c16="http://schemas.microsoft.com/office/drawing/2014/chart" uri="{C3380CC4-5D6E-409C-BE32-E72D297353CC}">
              <c16:uniqueId val="{00000004-096E-4407-AEB3-D0DF362DC378}"/>
            </c:ext>
          </c:extLst>
        </c:ser>
        <c:dLbls>
          <c:showLegendKey val="0"/>
          <c:showVal val="0"/>
          <c:showCatName val="0"/>
          <c:showSerName val="0"/>
          <c:showPercent val="0"/>
          <c:showBubbleSize val="0"/>
        </c:dLbls>
        <c:gapWidth val="150"/>
        <c:shape val="box"/>
        <c:axId val="148517888"/>
        <c:axId val="143485184"/>
        <c:axId val="0"/>
      </c:bar3DChart>
      <c:catAx>
        <c:axId val="148517888"/>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43485184"/>
        <c:crosses val="autoZero"/>
        <c:auto val="0"/>
        <c:lblAlgn val="ctr"/>
        <c:lblOffset val="100"/>
        <c:noMultiLvlLbl val="0"/>
      </c:catAx>
      <c:valAx>
        <c:axId val="143485184"/>
        <c:scaling>
          <c:orientation val="minMax"/>
          <c:min val="-3.0000000000000002E-2"/>
        </c:scaling>
        <c:delete val="0"/>
        <c:axPos val="b"/>
        <c:numFmt formatCode="0.0%" sourceLinked="1"/>
        <c:majorTickMark val="out"/>
        <c:minorTickMark val="none"/>
        <c:tickLblPos val="nextTo"/>
        <c:txPr>
          <a:bodyPr/>
          <a:lstStyle/>
          <a:p>
            <a:pPr>
              <a:defRPr lang="tr-TR"/>
            </a:pPr>
            <a:endParaRPr lang="tr-TR"/>
          </a:p>
        </c:txPr>
        <c:crossAx val="148517888"/>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2.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7C460-2C1D-465D-9B6E-B5AC65CC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794</Words>
  <Characters>4530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Yasemin</dc:creator>
  <cp:lastModifiedBy>Yasemin Çankaya Anıl</cp:lastModifiedBy>
  <cp:revision>8</cp:revision>
  <cp:lastPrinted>2021-09-20T11:41:00Z</cp:lastPrinted>
  <dcterms:created xsi:type="dcterms:W3CDTF">2021-09-15T07:26:00Z</dcterms:created>
  <dcterms:modified xsi:type="dcterms:W3CDTF">2021-09-20T11:41:00Z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