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6CBF" w14:textId="3D973870" w:rsidR="009108C0" w:rsidRDefault="00BC1E27" w:rsidP="004017EF">
      <w:pPr>
        <w:pStyle w:val="AralkYok"/>
        <w:jc w:val="center"/>
        <w:rPr>
          <w:sz w:val="24"/>
          <w:szCs w:val="24"/>
          <w:u w:val="single"/>
        </w:rPr>
      </w:pPr>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25FDCF34"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AC7DE8">
        <w:rPr>
          <w:rFonts w:ascii="Arial" w:hAnsi="Arial" w:cs="Arial"/>
          <w:b/>
          <w:color w:val="0D0D0D" w:themeColor="text1" w:themeTint="F2"/>
          <w:szCs w:val="24"/>
          <w:u w:val="single"/>
        </w:rPr>
        <w:t>23</w:t>
      </w:r>
      <w:r w:rsidR="00830794">
        <w:rPr>
          <w:rFonts w:ascii="Arial" w:hAnsi="Arial" w:cs="Arial"/>
          <w:b/>
          <w:color w:val="0D0D0D" w:themeColor="text1" w:themeTint="F2"/>
          <w:szCs w:val="24"/>
          <w:u w:val="single"/>
        </w:rPr>
        <w:t xml:space="preserve"> </w:t>
      </w:r>
      <w:r w:rsidR="00744C20">
        <w:rPr>
          <w:rFonts w:ascii="Arial" w:hAnsi="Arial" w:cs="Arial"/>
          <w:b/>
          <w:color w:val="0D0D0D" w:themeColor="text1" w:themeTint="F2"/>
          <w:szCs w:val="24"/>
          <w:u w:val="single"/>
        </w:rPr>
        <w:t>Şubat</w:t>
      </w:r>
      <w:r w:rsidR="00EB2622" w:rsidRPr="007630DF">
        <w:rPr>
          <w:rFonts w:ascii="Arial" w:hAnsi="Arial" w:cs="Arial"/>
          <w:b/>
          <w:color w:val="0D0D0D" w:themeColor="text1" w:themeTint="F2"/>
          <w:szCs w:val="24"/>
          <w:u w:val="single"/>
        </w:rPr>
        <w:t xml:space="preserve"> </w:t>
      </w:r>
      <w:r w:rsidR="007D6058" w:rsidRPr="007630DF">
        <w:rPr>
          <w:rFonts w:ascii="Arial" w:hAnsi="Arial" w:cs="Arial"/>
          <w:b/>
          <w:szCs w:val="24"/>
          <w:u w:val="single"/>
        </w:rPr>
        <w:t>2</w:t>
      </w:r>
      <w:r w:rsidR="00727AAD">
        <w:rPr>
          <w:rFonts w:ascii="Arial" w:hAnsi="Arial" w:cs="Arial"/>
          <w:b/>
          <w:szCs w:val="24"/>
          <w:u w:val="single"/>
        </w:rPr>
        <w:t>026</w:t>
      </w:r>
    </w:p>
    <w:p w14:paraId="41B638CE" w14:textId="06AE1865" w:rsidR="005F41A4" w:rsidRDefault="005F41A4" w:rsidP="005F41A4">
      <w:pPr>
        <w:spacing w:before="120" w:after="120" w:line="264" w:lineRule="auto"/>
        <w:jc w:val="center"/>
        <w:rPr>
          <w:rFonts w:ascii="Arial" w:hAnsi="Arial" w:cs="Arial"/>
          <w:b/>
          <w:sz w:val="32"/>
          <w:szCs w:val="28"/>
        </w:rPr>
      </w:pPr>
      <w:r w:rsidRPr="005F41A4">
        <w:rPr>
          <w:rFonts w:ascii="Arial" w:hAnsi="Arial" w:cs="Arial"/>
          <w:b/>
          <w:sz w:val="32"/>
          <w:szCs w:val="28"/>
        </w:rPr>
        <w:t>İnşaat Yeni Yıla Yavaş Başladı</w:t>
      </w:r>
    </w:p>
    <w:p w14:paraId="20837336" w14:textId="61E5A34A" w:rsidR="00D31E16" w:rsidRDefault="00BC1E27" w:rsidP="00784F1D">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744C20">
        <w:rPr>
          <w:rFonts w:ascii="Arial" w:hAnsi="Arial" w:cs="Arial"/>
          <w:b/>
        </w:rPr>
        <w:t>Ocak</w:t>
      </w:r>
      <w:r w:rsidR="005B47D9" w:rsidRPr="00A763F7">
        <w:rPr>
          <w:rFonts w:ascii="Arial" w:hAnsi="Arial" w:cs="Arial"/>
          <w:b/>
        </w:rPr>
        <w:t xml:space="preserve">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D31E16">
        <w:rPr>
          <w:rFonts w:ascii="Arial" w:hAnsi="Arial" w:cs="Arial"/>
          <w:b/>
        </w:rPr>
        <w:t>Tüm e</w:t>
      </w:r>
      <w:r w:rsidR="00D31E16" w:rsidRPr="00D31E16">
        <w:rPr>
          <w:rFonts w:ascii="Arial" w:hAnsi="Arial" w:cs="Arial"/>
          <w:b/>
        </w:rPr>
        <w:t>ndeksler, yılın son çeyreğinde sınır</w:t>
      </w:r>
      <w:r w:rsidR="00D31E16">
        <w:rPr>
          <w:rFonts w:ascii="Arial" w:hAnsi="Arial" w:cs="Arial"/>
          <w:b/>
        </w:rPr>
        <w:t>lı toparlanma gösterse de 2026 o</w:t>
      </w:r>
      <w:r w:rsidR="00D31E16" w:rsidRPr="00D31E16">
        <w:rPr>
          <w:rFonts w:ascii="Arial" w:hAnsi="Arial" w:cs="Arial"/>
          <w:b/>
        </w:rPr>
        <w:t>cak ayında yeniden zayıflama eğilimine girdi.</w:t>
      </w:r>
      <w:r w:rsidR="00C36ED1" w:rsidRPr="00C36ED1">
        <w:rPr>
          <w:rFonts w:ascii="Arial" w:hAnsi="Arial" w:cs="Arial"/>
          <w:b/>
        </w:rPr>
        <w:t xml:space="preserve"> Yıllık bazda faaliyet ve beklenti göstergeleri </w:t>
      </w:r>
      <w:r w:rsidR="00C36ED1" w:rsidRPr="00D31E16">
        <w:rPr>
          <w:rFonts w:ascii="Arial" w:hAnsi="Arial" w:cs="Arial"/>
          <w:b/>
        </w:rPr>
        <w:t>olumlu bir tabloya işaret etmekle birlikte</w:t>
      </w:r>
      <w:r w:rsidR="00C36ED1" w:rsidRPr="00C36ED1">
        <w:rPr>
          <w:rFonts w:ascii="Arial" w:hAnsi="Arial" w:cs="Arial"/>
          <w:b/>
        </w:rPr>
        <w:t xml:space="preserve"> ocak ayında faaliyet endeksinde ciddi bir düşüş yaşandı; beklentilerdeki artış ise gerilemenin kademeli olduğuna işaret etti.</w:t>
      </w:r>
    </w:p>
    <w:p w14:paraId="49949D67" w14:textId="72E25695" w:rsidR="00BF2BDC" w:rsidRPr="008E36DA" w:rsidRDefault="00BC1E27" w:rsidP="00784F1D">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652BFA08" w14:textId="41ADAC81" w:rsidR="00727AAD" w:rsidRDefault="00042A9E" w:rsidP="00744C20">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744C20">
        <w:rPr>
          <w:rFonts w:ascii="Arial" w:hAnsi="Arial" w:cs="Arial"/>
        </w:rPr>
        <w:t>Ocak</w:t>
      </w:r>
      <w:r w:rsidR="00F1456F">
        <w:rPr>
          <w:rFonts w:ascii="Arial" w:hAnsi="Arial" w:cs="Arial"/>
        </w:rPr>
        <w:t xml:space="preserve">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 </w:t>
      </w:r>
      <w:r w:rsidR="00D4198C">
        <w:rPr>
          <w:rFonts w:ascii="Arial" w:hAnsi="Arial" w:cs="Arial"/>
        </w:rPr>
        <w:t>t</w:t>
      </w:r>
      <w:r w:rsidR="00744C20" w:rsidRPr="00744C20">
        <w:rPr>
          <w:rFonts w:ascii="Arial" w:hAnsi="Arial" w:cs="Arial"/>
        </w:rPr>
        <w:t>üm endeksler, geçen yılın büyük bölümünde eşik değerin altında dalgalı bir seyir</w:t>
      </w:r>
      <w:r w:rsidR="00B0136C">
        <w:rPr>
          <w:rFonts w:ascii="Arial" w:hAnsi="Arial" w:cs="Arial"/>
        </w:rPr>
        <w:t xml:space="preserve"> </w:t>
      </w:r>
      <w:r w:rsidR="002E123B">
        <w:rPr>
          <w:rFonts w:ascii="Arial" w:hAnsi="Arial" w:cs="Arial"/>
        </w:rPr>
        <w:t>izlerken,</w:t>
      </w:r>
      <w:r w:rsidR="00744C20" w:rsidRPr="00744C20">
        <w:rPr>
          <w:rFonts w:ascii="Arial" w:hAnsi="Arial" w:cs="Arial"/>
        </w:rPr>
        <w:t xml:space="preserve"> yılın son çeyreğinde eşik değere doğru sınırlı bir toparlanma eğilimi göstermiş, ancak 2026 ocak ayında bu toparlanma yerini yeniden zayıflamaya bırakmıştır.</w:t>
      </w:r>
      <w:r w:rsidR="00D4198C">
        <w:rPr>
          <w:rFonts w:ascii="Arial" w:hAnsi="Arial" w:cs="Arial"/>
        </w:rPr>
        <w:t xml:space="preserve"> </w:t>
      </w:r>
      <w:r w:rsidR="00744C20" w:rsidRPr="00744C20">
        <w:rPr>
          <w:rFonts w:ascii="Arial" w:hAnsi="Arial" w:cs="Arial"/>
        </w:rPr>
        <w:t>Aralık ayında endeks değerleri, kasım ayına kıyasla genel olarak belirgin bir değişim göstermemiş; endeks seviyeleri birbirine yakın bir görünüm sergilemiştir. 2026 ocak ayında ise Beklenti hariç diğer endeksler aralık ayına göre gerilemiş, özellikle Güven Endeksi’ndeki düşüşle birlikte endeksler arasındaki yakın seyir kısmen bozulmuştur.</w:t>
      </w:r>
      <w:r w:rsidR="00D4198C">
        <w:rPr>
          <w:rFonts w:ascii="Arial" w:hAnsi="Arial" w:cs="Arial"/>
        </w:rPr>
        <w:t xml:space="preserve"> </w:t>
      </w:r>
      <w:r w:rsidR="00744C20" w:rsidRPr="00744C20">
        <w:rPr>
          <w:rFonts w:ascii="Arial" w:hAnsi="Arial" w:cs="Arial"/>
        </w:rPr>
        <w:t xml:space="preserve">Güven Endeksi, 2025 yılında en düşük seviyelerinden toparlanmış olmakla birlikte aralık ayında yeniden </w:t>
      </w:r>
      <w:r w:rsidR="005F41A4">
        <w:rPr>
          <w:rFonts w:ascii="Arial" w:hAnsi="Arial" w:cs="Arial"/>
        </w:rPr>
        <w:t>düşüş göstererek</w:t>
      </w:r>
      <w:r w:rsidR="00B0136C">
        <w:rPr>
          <w:rFonts w:ascii="Arial" w:hAnsi="Arial" w:cs="Arial"/>
        </w:rPr>
        <w:t xml:space="preserve"> </w:t>
      </w:r>
      <w:r w:rsidR="00744C20" w:rsidRPr="00744C20">
        <w:rPr>
          <w:rFonts w:ascii="Arial" w:hAnsi="Arial" w:cs="Arial"/>
        </w:rPr>
        <w:t>diğer alt endekslerin gerisinde kalmayı sürdürmüş</w:t>
      </w:r>
      <w:r w:rsidR="005F41A4">
        <w:rPr>
          <w:rFonts w:ascii="Arial" w:hAnsi="Arial" w:cs="Arial"/>
        </w:rPr>
        <w:t>,</w:t>
      </w:r>
      <w:r w:rsidR="00744C20" w:rsidRPr="00744C20">
        <w:rPr>
          <w:rFonts w:ascii="Arial" w:hAnsi="Arial" w:cs="Arial"/>
        </w:rPr>
        <w:t xml:space="preserve"> 2026 ocak ayında da bu geri</w:t>
      </w:r>
      <w:r w:rsidR="00D4198C">
        <w:rPr>
          <w:rFonts w:ascii="Arial" w:hAnsi="Arial" w:cs="Arial"/>
        </w:rPr>
        <w:t>leme devam etmiş</w:t>
      </w:r>
      <w:r w:rsidR="005F41A4">
        <w:rPr>
          <w:rFonts w:ascii="Arial" w:hAnsi="Arial" w:cs="Arial"/>
        </w:rPr>
        <w:t>tir.</w:t>
      </w:r>
      <w:r w:rsidR="00D4198C">
        <w:rPr>
          <w:rFonts w:ascii="Arial" w:hAnsi="Arial" w:cs="Arial"/>
        </w:rPr>
        <w:t xml:space="preserve"> </w:t>
      </w:r>
      <w:r w:rsidR="00744C20" w:rsidRPr="00744C20">
        <w:rPr>
          <w:rFonts w:ascii="Arial" w:hAnsi="Arial" w:cs="Arial"/>
        </w:rPr>
        <w:t xml:space="preserve">Faaliyet Endeksi, yaz aylarında kaydedilen yükselişin ardından sonbahar aylarında dengelenmiş; aralık ayında ise eşik değere oldukça yakın bir seviyede yatay seyrini sürdürmüştür. 2026 ocak ayında </w:t>
      </w:r>
      <w:r w:rsidR="005F41A4">
        <w:rPr>
          <w:rFonts w:ascii="Arial" w:hAnsi="Arial" w:cs="Arial"/>
        </w:rPr>
        <w:t>ise</w:t>
      </w:r>
      <w:r w:rsidR="00744C20" w:rsidRPr="00744C20">
        <w:rPr>
          <w:rFonts w:ascii="Arial" w:hAnsi="Arial" w:cs="Arial"/>
        </w:rPr>
        <w:t xml:space="preserve"> aşağı yönlü kırılarak eşik değerin oldukça altına gerilemiş ve yıl sonundaki sınırlı canlanmanın zayıfladığını göstermiştir.</w:t>
      </w:r>
      <w:r w:rsidR="00D4198C">
        <w:rPr>
          <w:rFonts w:ascii="Arial" w:hAnsi="Arial" w:cs="Arial"/>
        </w:rPr>
        <w:t xml:space="preserve"> </w:t>
      </w:r>
      <w:r w:rsidR="00744C20" w:rsidRPr="00744C20">
        <w:rPr>
          <w:rFonts w:ascii="Arial" w:hAnsi="Arial" w:cs="Arial"/>
        </w:rPr>
        <w:t>Beklenti Endeksi yıl boyunca görece istikrarlı bir görünüm sergilemiş, aralık ayında hafif bir düşüşle eşik değerin hemen altında konumlanmıştır. 2026 ocak ayında ise diğer</w:t>
      </w:r>
      <w:r w:rsidR="005F41A4">
        <w:rPr>
          <w:rFonts w:ascii="Arial" w:hAnsi="Arial" w:cs="Arial"/>
        </w:rPr>
        <w:t xml:space="preserve"> endekslerden</w:t>
      </w:r>
      <w:r w:rsidR="00744C20" w:rsidRPr="00744C20">
        <w:rPr>
          <w:rFonts w:ascii="Arial" w:hAnsi="Arial" w:cs="Arial"/>
        </w:rPr>
        <w:t xml:space="preserve"> ayrışarak pozitif bir görünüm sergilemiştir.</w:t>
      </w:r>
    </w:p>
    <w:p w14:paraId="0B31D9B9" w14:textId="71804BB7" w:rsidR="00744C20" w:rsidRDefault="00727AAD" w:rsidP="00744C20">
      <w:pPr>
        <w:spacing w:before="120" w:after="120" w:line="264" w:lineRule="auto"/>
        <w:jc w:val="both"/>
        <w:rPr>
          <w:rFonts w:ascii="Arial" w:hAnsi="Arial" w:cs="Arial"/>
        </w:rPr>
      </w:pPr>
      <w:r>
        <w:rPr>
          <w:rFonts w:ascii="Arial" w:hAnsi="Arial" w:cs="Arial"/>
        </w:rPr>
        <w:t xml:space="preserve">Geçen yılın aynı ayına göre bakıldığında, </w:t>
      </w:r>
      <w:r w:rsidR="00744C20">
        <w:rPr>
          <w:rFonts w:ascii="Arial" w:hAnsi="Arial" w:cs="Arial"/>
        </w:rPr>
        <w:t>o</w:t>
      </w:r>
      <w:r w:rsidR="00744C20" w:rsidRPr="00744C20">
        <w:rPr>
          <w:rFonts w:ascii="Arial" w:hAnsi="Arial" w:cs="Arial"/>
        </w:rPr>
        <w:t>cak ayında endekslerde sınırlı ve ayrışan bir yıllık görünüm dikkat çekmektedir. Faaliyet Endeksi, geçen yılın aynı ayına göre %0,3 oranında artış göstererek pozitif yönde ayrışmış ve sektör faaliyetlerinde ılımlı bir toparlanmaya işaret etmiştir ancak bu veri aylık bazda incelendiğinde, endeksin ocak ayında ciddi bir düşüş göst</w:t>
      </w:r>
      <w:r w:rsidR="00D4198C">
        <w:rPr>
          <w:rFonts w:ascii="Arial" w:hAnsi="Arial" w:cs="Arial"/>
        </w:rPr>
        <w:t xml:space="preserve">erdiği de dikkate alınmalıdır. </w:t>
      </w:r>
      <w:r w:rsidR="00744C20" w:rsidRPr="00744C20">
        <w:rPr>
          <w:rFonts w:ascii="Arial" w:hAnsi="Arial" w:cs="Arial"/>
        </w:rPr>
        <w:t>Buna karşılık Güven Endeksi, %0,4 oranında gerileyerek alt endeksler arasında en zayıf performansı sergilemiş; sektöre ilişkin güven algısının geçen yılın aynı dönemine kıyasla zayıf seyrini sürdürdüğünü ortaya koymuştur. Beklenti Endeksi ise %0,4’lük artış ile pozitif bir görünüm sergileyerek geleceğe yönelik beklentilerde temkinli bir iyileşmeye işaret etmiştir.</w:t>
      </w:r>
      <w:r w:rsidR="00D4198C">
        <w:rPr>
          <w:rFonts w:ascii="Arial" w:hAnsi="Arial" w:cs="Arial"/>
        </w:rPr>
        <w:t xml:space="preserve"> </w:t>
      </w:r>
      <w:r w:rsidR="005F41A4">
        <w:rPr>
          <w:rFonts w:ascii="Arial" w:hAnsi="Arial" w:cs="Arial"/>
        </w:rPr>
        <w:t>Genel olarak bu sonuçlar</w:t>
      </w:r>
      <w:r w:rsidR="00744C20" w:rsidRPr="00744C20">
        <w:rPr>
          <w:rFonts w:ascii="Arial" w:hAnsi="Arial" w:cs="Arial"/>
        </w:rPr>
        <w:t>, yılın ilk ayında geçen yılın aynı dönemine kıyasla faaliyet ve beklenti tarafında olumlu bir tabloya işaret etmekle birlikte, 2025 aralık ayına göre 2026 ocak ayında faaliyette ciddi bir düşüş yaşandığını ortaya koymaktadır</w:t>
      </w:r>
      <w:r w:rsidR="002E123B">
        <w:rPr>
          <w:rFonts w:ascii="Arial" w:hAnsi="Arial" w:cs="Arial"/>
        </w:rPr>
        <w:t>,</w:t>
      </w:r>
      <w:r w:rsidR="00744C20" w:rsidRPr="00744C20">
        <w:rPr>
          <w:rFonts w:ascii="Arial" w:hAnsi="Arial" w:cs="Arial"/>
        </w:rPr>
        <w:t xml:space="preserve"> ancak beklentinin hem aylık hem de yıllık bazda yükseliş göstermesi, faaliyetteki gerilemenin </w:t>
      </w:r>
      <w:r w:rsidR="005F41A4">
        <w:rPr>
          <w:rFonts w:ascii="Arial" w:hAnsi="Arial" w:cs="Arial"/>
        </w:rPr>
        <w:t xml:space="preserve">geçici </w:t>
      </w:r>
      <w:r w:rsidR="00744C20" w:rsidRPr="00744C20">
        <w:rPr>
          <w:rFonts w:ascii="Arial" w:hAnsi="Arial" w:cs="Arial"/>
        </w:rPr>
        <w:t xml:space="preserve">nitelikte olduğuna işaret etmektedir. </w:t>
      </w:r>
    </w:p>
    <w:p w14:paraId="44125384" w14:textId="6B3F5A6C" w:rsidR="00FB0C03" w:rsidRDefault="00D4198C" w:rsidP="00744C20">
      <w:pPr>
        <w:spacing w:before="120" w:after="120" w:line="264" w:lineRule="auto"/>
        <w:jc w:val="both"/>
        <w:rPr>
          <w:rFonts w:ascii="Arial" w:hAnsi="Arial" w:cs="Arial"/>
        </w:rPr>
      </w:pPr>
      <w:r w:rsidRPr="00D4198C">
        <w:rPr>
          <w:rFonts w:ascii="Arial" w:hAnsi="Arial" w:cs="Arial"/>
        </w:rPr>
        <w:t>Raporun sonuçlarını değerlendiren Türkiye Hazır Beton Birliği (THBB) Yönetim Kurulu Başkanı Yavuz Işık, “</w:t>
      </w:r>
      <w:r w:rsidR="00FB0C03">
        <w:rPr>
          <w:rFonts w:ascii="Arial" w:hAnsi="Arial" w:cs="Arial"/>
        </w:rPr>
        <w:t>T</w:t>
      </w:r>
      <w:r w:rsidR="00FB0C03" w:rsidRPr="00FB0C03">
        <w:rPr>
          <w:rFonts w:ascii="Arial" w:hAnsi="Arial" w:cs="Arial"/>
        </w:rPr>
        <w:t>üm endeksler, geçen yılın büyük bölümünde eşik değerin altında dalgalı bir seyir izledikten sonra, yılın son çeyreğinde eşik değere doğru sınırlı bir toparlanma eğilimi göstermiş, ancak 2026 ocak ayında bu toparlanma yerini yeniden zayıflamaya bırakmıştır.</w:t>
      </w:r>
      <w:r w:rsidR="00FB0C03">
        <w:rPr>
          <w:rFonts w:ascii="Arial" w:hAnsi="Arial" w:cs="Arial"/>
        </w:rPr>
        <w:t xml:space="preserve"> </w:t>
      </w:r>
      <w:r w:rsidR="00FB0C03" w:rsidRPr="00FB0C03">
        <w:rPr>
          <w:rFonts w:ascii="Arial" w:hAnsi="Arial" w:cs="Arial"/>
        </w:rPr>
        <w:t>2026 ocak ayında Faaliyet Endeksi aşağı yönlü kırılarak eşik değerin oldukça altına gerilemiş ve yıl sonundaki sınırlı canlanmanın zayıfladığını göstermiştir.</w:t>
      </w:r>
      <w:r w:rsidR="00FB0C03">
        <w:rPr>
          <w:rFonts w:ascii="Arial" w:hAnsi="Arial" w:cs="Arial"/>
        </w:rPr>
        <w:t>” dedi.</w:t>
      </w:r>
    </w:p>
    <w:p w14:paraId="7C338341" w14:textId="561457A8" w:rsidR="00D4198C" w:rsidRPr="00744C20" w:rsidRDefault="00821637" w:rsidP="00744C20">
      <w:pPr>
        <w:spacing w:before="120" w:after="120" w:line="264" w:lineRule="auto"/>
        <w:jc w:val="both"/>
        <w:rPr>
          <w:rFonts w:ascii="Arial" w:hAnsi="Arial" w:cs="Arial"/>
        </w:rPr>
      </w:pPr>
      <w:r>
        <w:rPr>
          <w:rFonts w:ascii="Arial" w:hAnsi="Arial" w:cs="Arial"/>
        </w:rPr>
        <w:lastRenderedPageBreak/>
        <w:t>O</w:t>
      </w:r>
      <w:r w:rsidRPr="00744C20">
        <w:rPr>
          <w:rFonts w:ascii="Arial" w:hAnsi="Arial" w:cs="Arial"/>
        </w:rPr>
        <w:t xml:space="preserve">cak ayında </w:t>
      </w:r>
      <w:r>
        <w:rPr>
          <w:rFonts w:ascii="Arial" w:hAnsi="Arial" w:cs="Arial"/>
        </w:rPr>
        <w:t xml:space="preserve">geçen yılın aynı ayına göre </w:t>
      </w:r>
      <w:r w:rsidRPr="00744C20">
        <w:rPr>
          <w:rFonts w:ascii="Arial" w:hAnsi="Arial" w:cs="Arial"/>
        </w:rPr>
        <w:t>endekslerde sınırlı ve ayrışan bir yı</w:t>
      </w:r>
      <w:r>
        <w:rPr>
          <w:rFonts w:ascii="Arial" w:hAnsi="Arial" w:cs="Arial"/>
        </w:rPr>
        <w:t>llık görünümün dikkat çektiğini ifade eden THBB Başkanı Yavuz Işık, “</w:t>
      </w:r>
      <w:r w:rsidR="00FB0C03">
        <w:rPr>
          <w:rFonts w:ascii="Arial" w:hAnsi="Arial" w:cs="Arial"/>
        </w:rPr>
        <w:t xml:space="preserve">Rapor, </w:t>
      </w:r>
      <w:r w:rsidR="00FB0C03" w:rsidRPr="00744C20">
        <w:rPr>
          <w:rFonts w:ascii="Arial" w:hAnsi="Arial" w:cs="Arial"/>
        </w:rPr>
        <w:t xml:space="preserve">yılın ilk ayında geçen yılın aynı dönemine kıyasla faaliyet ve beklenti tarafında olumlu bir tabloya işaret etmekle birlikte, </w:t>
      </w:r>
      <w:r w:rsidR="00FB0C03" w:rsidRPr="00FB0C03">
        <w:rPr>
          <w:rFonts w:ascii="Arial" w:hAnsi="Arial" w:cs="Arial"/>
        </w:rPr>
        <w:t>2025 aralık ayına göre 2026 ocak ayında faaliyette ciddi bir düşüş yaşandığını ortaya koymaktadır</w:t>
      </w:r>
      <w:r w:rsidR="002E123B">
        <w:rPr>
          <w:rFonts w:ascii="Arial" w:hAnsi="Arial" w:cs="Arial"/>
        </w:rPr>
        <w:t>,</w:t>
      </w:r>
      <w:r w:rsidR="00FB0C03" w:rsidRPr="00FB0C03">
        <w:rPr>
          <w:rFonts w:ascii="Arial" w:hAnsi="Arial" w:cs="Arial"/>
        </w:rPr>
        <w:t xml:space="preserve"> ancak beklentinin hem aylık hem de yıllık bazda yükseliş göstermesi, faaliyetteki gerilemenin kademeli nitelikte olduğuna işaret etmektedir.</w:t>
      </w:r>
      <w:r w:rsidR="00D4198C" w:rsidRPr="00D4198C">
        <w:rPr>
          <w:rFonts w:ascii="Arial" w:hAnsi="Arial" w:cs="Arial"/>
        </w:rPr>
        <w:t>”</w:t>
      </w:r>
      <w:r w:rsidR="00FB0C03">
        <w:rPr>
          <w:rFonts w:ascii="Arial" w:hAnsi="Arial" w:cs="Arial"/>
        </w:rPr>
        <w:t xml:space="preserve"> dedi.</w:t>
      </w:r>
    </w:p>
    <w:p w14:paraId="448608E8" w14:textId="63F594A8" w:rsidR="006C6DAD" w:rsidRDefault="008E2225" w:rsidP="006C6DAD">
      <w:pPr>
        <w:spacing w:after="120"/>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1: Endeks Değerleri</w:t>
      </w:r>
    </w:p>
    <w:p w14:paraId="0586DBE6" w14:textId="714FB748" w:rsidR="00671ED7" w:rsidRDefault="00D4198C" w:rsidP="00671ED7">
      <w:pPr>
        <w:spacing w:after="120"/>
        <w:jc w:val="center"/>
        <w:outlineLvl w:val="1"/>
        <w:rPr>
          <w:rFonts w:ascii="Arial" w:hAnsi="Arial" w:cs="Arial"/>
          <w:b/>
        </w:rPr>
      </w:pPr>
      <w:r>
        <w:rPr>
          <w:noProof/>
        </w:rPr>
        <w:drawing>
          <wp:inline distT="0" distB="0" distL="0" distR="0" wp14:anchorId="1A372CA3" wp14:editId="3B1F08A8">
            <wp:extent cx="5036820" cy="3055620"/>
            <wp:effectExtent l="0" t="0" r="11430" b="11430"/>
            <wp:docPr id="1031942085" name="Grafik 1">
              <a:extLst xmlns:a="http://schemas.openxmlformats.org/drawingml/2006/main">
                <a:ext uri="{FF2B5EF4-FFF2-40B4-BE49-F238E27FC236}">
                  <a16:creationId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2D77178" w14:textId="77777777" w:rsidR="007B6E36" w:rsidRDefault="007B6E36" w:rsidP="00671ED7">
      <w:pPr>
        <w:spacing w:before="230" w:after="115"/>
        <w:contextualSpacing/>
        <w:jc w:val="center"/>
        <w:outlineLvl w:val="1"/>
        <w:rPr>
          <w:rFonts w:ascii="Arial" w:hAnsi="Arial" w:cs="Arial"/>
          <w:b/>
        </w:rPr>
      </w:pPr>
    </w:p>
    <w:p w14:paraId="49655C95" w14:textId="509DA92D" w:rsidR="00671ED7" w:rsidRDefault="008E2225" w:rsidP="00671ED7">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7F9B9B15" w14:textId="623AAC34" w:rsidR="00D2194E" w:rsidRDefault="00D4198C" w:rsidP="00447336">
      <w:pPr>
        <w:spacing w:before="230" w:after="115"/>
        <w:contextualSpacing/>
        <w:jc w:val="center"/>
        <w:outlineLvl w:val="1"/>
        <w:rPr>
          <w:rFonts w:ascii="Arial" w:hAnsi="Arial" w:cs="Arial"/>
          <w:b/>
        </w:rPr>
      </w:pPr>
      <w:r>
        <w:rPr>
          <w:noProof/>
        </w:rPr>
        <w:drawing>
          <wp:inline distT="0" distB="0" distL="0" distR="0" wp14:anchorId="7FED3A34" wp14:editId="26868FDA">
            <wp:extent cx="5623560" cy="1249680"/>
            <wp:effectExtent l="0" t="0" r="15240" b="7620"/>
            <wp:docPr id="2100227626" name="Grafik 1">
              <a:extLst xmlns:a="http://schemas.openxmlformats.org/drawingml/2006/main">
                <a:ext uri="{FF2B5EF4-FFF2-40B4-BE49-F238E27FC236}">
                  <a16:creationId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96EBAF7" w14:textId="2229F74D" w:rsidR="00660768" w:rsidRDefault="00660768" w:rsidP="00447336">
      <w:pPr>
        <w:spacing w:before="230" w:after="115"/>
        <w:contextualSpacing/>
        <w:jc w:val="center"/>
        <w:outlineLvl w:val="1"/>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r w:rsidR="00794514" w:rsidRPr="0022066D">
        <w:rPr>
          <w:rFonts w:ascii="Arial" w:hAnsi="Arial" w:cs="Arial"/>
          <w:bCs/>
          <w:sz w:val="16"/>
          <w:szCs w:val="16"/>
        </w:rPr>
        <w:t xml:space="preserve">The </w:t>
      </w:r>
      <w:r w:rsidRPr="0022066D">
        <w:rPr>
          <w:rFonts w:ascii="Arial" w:hAnsi="Arial" w:cs="Arial"/>
          <w:bCs/>
          <w:sz w:val="16"/>
          <w:szCs w:val="16"/>
        </w:rPr>
        <w:t>Concrete Sustainability Council) üyesi; Beton Sürdürülebilirlik Konseyi “Bölgesel Sistem Operatörü”dür. THBB’ye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F75CDAE" w14:textId="77777777" w:rsidR="00BC1E27" w:rsidRDefault="00AC7DE8" w:rsidP="007800F7">
      <w:pPr>
        <w:pStyle w:val="AralkYok1"/>
        <w:spacing w:line="276" w:lineRule="auto"/>
        <w:contextualSpacing/>
        <w:rPr>
          <w:rStyle w:val="Kpr"/>
          <w:rFonts w:ascii="Arial" w:eastAsia="Times New Roman" w:hAnsi="Arial" w:cs="Arial"/>
          <w:b/>
          <w:bCs/>
          <w:sz w:val="16"/>
          <w:szCs w:val="16"/>
        </w:rPr>
      </w:pPr>
      <w:hyperlink r:id="rId11"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2"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3"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27"/>
    <w:rsid w:val="00002545"/>
    <w:rsid w:val="0000406C"/>
    <w:rsid w:val="00004DFE"/>
    <w:rsid w:val="000142B4"/>
    <w:rsid w:val="00015216"/>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FCF"/>
    <w:rsid w:val="000B56FA"/>
    <w:rsid w:val="000B6063"/>
    <w:rsid w:val="000C0F35"/>
    <w:rsid w:val="000C3DD0"/>
    <w:rsid w:val="000C51C7"/>
    <w:rsid w:val="000C7E3E"/>
    <w:rsid w:val="000D11ED"/>
    <w:rsid w:val="000D25BF"/>
    <w:rsid w:val="000D4E1F"/>
    <w:rsid w:val="000D5280"/>
    <w:rsid w:val="000D769D"/>
    <w:rsid w:val="000D7872"/>
    <w:rsid w:val="000E4A8C"/>
    <w:rsid w:val="000E637A"/>
    <w:rsid w:val="000E6A4A"/>
    <w:rsid w:val="000E6F4B"/>
    <w:rsid w:val="000F5905"/>
    <w:rsid w:val="000F6ACF"/>
    <w:rsid w:val="00100CBB"/>
    <w:rsid w:val="00110ADB"/>
    <w:rsid w:val="00114095"/>
    <w:rsid w:val="00114134"/>
    <w:rsid w:val="00116448"/>
    <w:rsid w:val="00117E77"/>
    <w:rsid w:val="00121729"/>
    <w:rsid w:val="001242F3"/>
    <w:rsid w:val="00131534"/>
    <w:rsid w:val="00131D7F"/>
    <w:rsid w:val="0014421E"/>
    <w:rsid w:val="0015058D"/>
    <w:rsid w:val="00153530"/>
    <w:rsid w:val="00153E04"/>
    <w:rsid w:val="001548D4"/>
    <w:rsid w:val="001638CC"/>
    <w:rsid w:val="00163FFE"/>
    <w:rsid w:val="001651BC"/>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674D"/>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46B6"/>
    <w:rsid w:val="00271D67"/>
    <w:rsid w:val="002736BE"/>
    <w:rsid w:val="0027466D"/>
    <w:rsid w:val="002751EF"/>
    <w:rsid w:val="00280E29"/>
    <w:rsid w:val="00281B65"/>
    <w:rsid w:val="00282596"/>
    <w:rsid w:val="002A0E28"/>
    <w:rsid w:val="002A265F"/>
    <w:rsid w:val="002B023F"/>
    <w:rsid w:val="002B240D"/>
    <w:rsid w:val="002C0439"/>
    <w:rsid w:val="002C5A3D"/>
    <w:rsid w:val="002D412A"/>
    <w:rsid w:val="002D458A"/>
    <w:rsid w:val="002D7D36"/>
    <w:rsid w:val="002D7EAE"/>
    <w:rsid w:val="002E1193"/>
    <w:rsid w:val="002E123B"/>
    <w:rsid w:val="002E3CC0"/>
    <w:rsid w:val="002E597C"/>
    <w:rsid w:val="002E7E04"/>
    <w:rsid w:val="002F1F59"/>
    <w:rsid w:val="002F2B80"/>
    <w:rsid w:val="002F2E74"/>
    <w:rsid w:val="002F307B"/>
    <w:rsid w:val="002F3C2D"/>
    <w:rsid w:val="00300D53"/>
    <w:rsid w:val="0030154E"/>
    <w:rsid w:val="00304EAD"/>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7653"/>
    <w:rsid w:val="003F7D9F"/>
    <w:rsid w:val="0040023A"/>
    <w:rsid w:val="00400CA4"/>
    <w:rsid w:val="004017EF"/>
    <w:rsid w:val="00402AAE"/>
    <w:rsid w:val="00404152"/>
    <w:rsid w:val="004059A7"/>
    <w:rsid w:val="0040797A"/>
    <w:rsid w:val="00413A5F"/>
    <w:rsid w:val="004204EA"/>
    <w:rsid w:val="00420F15"/>
    <w:rsid w:val="00424308"/>
    <w:rsid w:val="004309A2"/>
    <w:rsid w:val="00434346"/>
    <w:rsid w:val="00437303"/>
    <w:rsid w:val="00437F3A"/>
    <w:rsid w:val="00437FA9"/>
    <w:rsid w:val="00440DCF"/>
    <w:rsid w:val="004424C1"/>
    <w:rsid w:val="00442AD2"/>
    <w:rsid w:val="00444011"/>
    <w:rsid w:val="004462BC"/>
    <w:rsid w:val="00447336"/>
    <w:rsid w:val="004506B8"/>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B83"/>
    <w:rsid w:val="0056337F"/>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425D"/>
    <w:rsid w:val="005F051F"/>
    <w:rsid w:val="005F1B57"/>
    <w:rsid w:val="005F41A4"/>
    <w:rsid w:val="005F6F7D"/>
    <w:rsid w:val="005F707A"/>
    <w:rsid w:val="005F7597"/>
    <w:rsid w:val="0060100B"/>
    <w:rsid w:val="00602672"/>
    <w:rsid w:val="00602D35"/>
    <w:rsid w:val="006037D9"/>
    <w:rsid w:val="00610917"/>
    <w:rsid w:val="0061329F"/>
    <w:rsid w:val="0061563C"/>
    <w:rsid w:val="0061585C"/>
    <w:rsid w:val="00621552"/>
    <w:rsid w:val="00622D7F"/>
    <w:rsid w:val="00624C49"/>
    <w:rsid w:val="00624FEB"/>
    <w:rsid w:val="00632937"/>
    <w:rsid w:val="00633D02"/>
    <w:rsid w:val="00634980"/>
    <w:rsid w:val="00635442"/>
    <w:rsid w:val="0063714D"/>
    <w:rsid w:val="00641EC7"/>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3D94"/>
    <w:rsid w:val="00743DD1"/>
    <w:rsid w:val="00744C20"/>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1918"/>
    <w:rsid w:val="008C49C8"/>
    <w:rsid w:val="008D1E80"/>
    <w:rsid w:val="008D2534"/>
    <w:rsid w:val="008D403C"/>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51364"/>
    <w:rsid w:val="00953BD4"/>
    <w:rsid w:val="00954A28"/>
    <w:rsid w:val="00955ACB"/>
    <w:rsid w:val="00957780"/>
    <w:rsid w:val="00962A0C"/>
    <w:rsid w:val="00966992"/>
    <w:rsid w:val="00971188"/>
    <w:rsid w:val="00972EDD"/>
    <w:rsid w:val="009732BE"/>
    <w:rsid w:val="00973AA8"/>
    <w:rsid w:val="00973BF5"/>
    <w:rsid w:val="00980E23"/>
    <w:rsid w:val="0098575F"/>
    <w:rsid w:val="00985950"/>
    <w:rsid w:val="00987E20"/>
    <w:rsid w:val="009917C0"/>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54AB"/>
    <w:rsid w:val="00A55D10"/>
    <w:rsid w:val="00A563AF"/>
    <w:rsid w:val="00A5787D"/>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DF6"/>
    <w:rsid w:val="00B0136C"/>
    <w:rsid w:val="00B038EF"/>
    <w:rsid w:val="00B0446E"/>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6ED1"/>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5C9D"/>
    <w:rsid w:val="00BC773B"/>
    <w:rsid w:val="00BC7B3A"/>
    <w:rsid w:val="00BC7DA0"/>
    <w:rsid w:val="00BD01CF"/>
    <w:rsid w:val="00BD0205"/>
    <w:rsid w:val="00BD2AF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38CA"/>
    <w:rsid w:val="00C274B4"/>
    <w:rsid w:val="00C3071A"/>
    <w:rsid w:val="00C36ED1"/>
    <w:rsid w:val="00C409D7"/>
    <w:rsid w:val="00C417B3"/>
    <w:rsid w:val="00C50BFB"/>
    <w:rsid w:val="00C516A8"/>
    <w:rsid w:val="00C51EA7"/>
    <w:rsid w:val="00C55A04"/>
    <w:rsid w:val="00C565BC"/>
    <w:rsid w:val="00C61482"/>
    <w:rsid w:val="00C6188A"/>
    <w:rsid w:val="00C64628"/>
    <w:rsid w:val="00C66A32"/>
    <w:rsid w:val="00C75BD0"/>
    <w:rsid w:val="00C75F6B"/>
    <w:rsid w:val="00C8262C"/>
    <w:rsid w:val="00C92556"/>
    <w:rsid w:val="00C96AD4"/>
    <w:rsid w:val="00CA2199"/>
    <w:rsid w:val="00CA3B36"/>
    <w:rsid w:val="00CA679E"/>
    <w:rsid w:val="00CB28BE"/>
    <w:rsid w:val="00CB3550"/>
    <w:rsid w:val="00CB408B"/>
    <w:rsid w:val="00CB480C"/>
    <w:rsid w:val="00CB4A1E"/>
    <w:rsid w:val="00CC180D"/>
    <w:rsid w:val="00CC1B13"/>
    <w:rsid w:val="00CC2E2D"/>
    <w:rsid w:val="00CC5A59"/>
    <w:rsid w:val="00CD10D7"/>
    <w:rsid w:val="00CD2ACE"/>
    <w:rsid w:val="00CD524A"/>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C35"/>
    <w:rsid w:val="00D60FDC"/>
    <w:rsid w:val="00D61097"/>
    <w:rsid w:val="00D630F9"/>
    <w:rsid w:val="00D64E76"/>
    <w:rsid w:val="00D7006D"/>
    <w:rsid w:val="00D81E74"/>
    <w:rsid w:val="00D82D45"/>
    <w:rsid w:val="00D82E93"/>
    <w:rsid w:val="00D83A5A"/>
    <w:rsid w:val="00D853B6"/>
    <w:rsid w:val="00D90C8C"/>
    <w:rsid w:val="00D91673"/>
    <w:rsid w:val="00D9259A"/>
    <w:rsid w:val="00D97C8E"/>
    <w:rsid w:val="00DA5A03"/>
    <w:rsid w:val="00DA6FE6"/>
    <w:rsid w:val="00DA707B"/>
    <w:rsid w:val="00DB00EB"/>
    <w:rsid w:val="00DC04B9"/>
    <w:rsid w:val="00DC2128"/>
    <w:rsid w:val="00DC3208"/>
    <w:rsid w:val="00DC4072"/>
    <w:rsid w:val="00DD2139"/>
    <w:rsid w:val="00DE029D"/>
    <w:rsid w:val="00DE212A"/>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1A9"/>
    <w:rsid w:val="00EB2622"/>
    <w:rsid w:val="00EB4085"/>
    <w:rsid w:val="00EB6C02"/>
    <w:rsid w:val="00EC2EF1"/>
    <w:rsid w:val="00EC45F0"/>
    <w:rsid w:val="00EC4B55"/>
    <w:rsid w:val="00EC598F"/>
    <w:rsid w:val="00ED0A74"/>
    <w:rsid w:val="00ED100C"/>
    <w:rsid w:val="00ED622F"/>
    <w:rsid w:val="00ED7EA8"/>
    <w:rsid w:val="00EE1D26"/>
    <w:rsid w:val="00EF0963"/>
    <w:rsid w:val="00EF2340"/>
    <w:rsid w:val="00EF29C2"/>
    <w:rsid w:val="00EF585A"/>
    <w:rsid w:val="00F011EE"/>
    <w:rsid w:val="00F02E2A"/>
    <w:rsid w:val="00F10C33"/>
    <w:rsid w:val="00F10E65"/>
    <w:rsid w:val="00F1456F"/>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15:docId w15:val="{89E37F61-A60D-4289-9940-9D6CE6611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inar.taskin@thbb.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kan.zengin@thbb.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hbb.org/basin-od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belgeler\2026%20ocak.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belgeler\2026%20oca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sonuçları'!$CZ$1:$DL$1</c:f>
              <c:strCache>
                <c:ptCount val="13"/>
                <c:pt idx="0">
                  <c:v>2025 Ocak</c:v>
                </c:pt>
                <c:pt idx="1">
                  <c:v>Şubat</c:v>
                </c:pt>
                <c:pt idx="2">
                  <c:v>Mart</c:v>
                </c:pt>
                <c:pt idx="3">
                  <c:v>Nisan</c:v>
                </c:pt>
                <c:pt idx="4">
                  <c:v>Mayıs</c:v>
                </c:pt>
                <c:pt idx="5">
                  <c:v>Haziran</c:v>
                </c:pt>
                <c:pt idx="6">
                  <c:v>Temmuz</c:v>
                </c:pt>
                <c:pt idx="7">
                  <c:v>Ağustos</c:v>
                </c:pt>
                <c:pt idx="8">
                  <c:v>Eylül</c:v>
                </c:pt>
                <c:pt idx="9">
                  <c:v>Ekim</c:v>
                </c:pt>
                <c:pt idx="10">
                  <c:v>Kasım</c:v>
                </c:pt>
                <c:pt idx="11">
                  <c:v>Aralık</c:v>
                </c:pt>
                <c:pt idx="12">
                  <c:v>2026 Ocak</c:v>
                </c:pt>
              </c:strCache>
            </c:strRef>
          </c:cat>
          <c:val>
            <c:numRef>
              <c:f>'endeks sonuçları'!$CZ$2:$DL$2</c:f>
              <c:numCache>
                <c:formatCode>0.00</c:formatCode>
                <c:ptCount val="13"/>
                <c:pt idx="0">
                  <c:v>98.533333333333346</c:v>
                </c:pt>
                <c:pt idx="1">
                  <c:v>99</c:v>
                </c:pt>
                <c:pt idx="2">
                  <c:v>100.10000000000001</c:v>
                </c:pt>
                <c:pt idx="3">
                  <c:v>99.933333333333323</c:v>
                </c:pt>
                <c:pt idx="4">
                  <c:v>100.66666666666667</c:v>
                </c:pt>
                <c:pt idx="5">
                  <c:v>99.266666666666666</c:v>
                </c:pt>
                <c:pt idx="6">
                  <c:v>101.06666666666668</c:v>
                </c:pt>
                <c:pt idx="7">
                  <c:v>99.8</c:v>
                </c:pt>
                <c:pt idx="8">
                  <c:v>99.733333333333334</c:v>
                </c:pt>
                <c:pt idx="9">
                  <c:v>99.866666666666674</c:v>
                </c:pt>
                <c:pt idx="10">
                  <c:v>99.933333333333323</c:v>
                </c:pt>
                <c:pt idx="11">
                  <c:v>100.06666666666666</c:v>
                </c:pt>
                <c:pt idx="12">
                  <c:v>98.8</c:v>
                </c:pt>
              </c:numCache>
            </c:numRef>
          </c:val>
          <c:smooth val="0"/>
          <c:extLst>
            <c:ext xmlns:c16="http://schemas.microsoft.com/office/drawing/2014/chart" uri="{C3380CC4-5D6E-409C-BE32-E72D297353CC}">
              <c16:uniqueId val="{00000000-77FE-4BFF-9F4F-F9960AA88E05}"/>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sonuçları'!$CZ$1:$DL$1</c:f>
              <c:strCache>
                <c:ptCount val="13"/>
                <c:pt idx="0">
                  <c:v>2025 Ocak</c:v>
                </c:pt>
                <c:pt idx="1">
                  <c:v>Şubat</c:v>
                </c:pt>
                <c:pt idx="2">
                  <c:v>Mart</c:v>
                </c:pt>
                <c:pt idx="3">
                  <c:v>Nisan</c:v>
                </c:pt>
                <c:pt idx="4">
                  <c:v>Mayıs</c:v>
                </c:pt>
                <c:pt idx="5">
                  <c:v>Haziran</c:v>
                </c:pt>
                <c:pt idx="6">
                  <c:v>Temmuz</c:v>
                </c:pt>
                <c:pt idx="7">
                  <c:v>Ağustos</c:v>
                </c:pt>
                <c:pt idx="8">
                  <c:v>Eylül</c:v>
                </c:pt>
                <c:pt idx="9">
                  <c:v>Ekim</c:v>
                </c:pt>
                <c:pt idx="10">
                  <c:v>Kasım</c:v>
                </c:pt>
                <c:pt idx="11">
                  <c:v>Aralık</c:v>
                </c:pt>
                <c:pt idx="12">
                  <c:v>2026 Ocak</c:v>
                </c:pt>
              </c:strCache>
            </c:strRef>
          </c:cat>
          <c:val>
            <c:numRef>
              <c:f>'endeks sonuçları'!$CZ$3:$DL$3</c:f>
              <c:numCache>
                <c:formatCode>General</c:formatCode>
                <c:ptCount val="13"/>
                <c:pt idx="0">
                  <c:v>98.9</c:v>
                </c:pt>
                <c:pt idx="1">
                  <c:v>99.300000000000011</c:v>
                </c:pt>
                <c:pt idx="2">
                  <c:v>98.65</c:v>
                </c:pt>
                <c:pt idx="3">
                  <c:v>98.699999999999989</c:v>
                </c:pt>
                <c:pt idx="4">
                  <c:v>98.5</c:v>
                </c:pt>
                <c:pt idx="5">
                  <c:v>98.800000000000011</c:v>
                </c:pt>
                <c:pt idx="6">
                  <c:v>99.4</c:v>
                </c:pt>
                <c:pt idx="7">
                  <c:v>99.5</c:v>
                </c:pt>
                <c:pt idx="8">
                  <c:v>99.1</c:v>
                </c:pt>
                <c:pt idx="9">
                  <c:v>99.3</c:v>
                </c:pt>
                <c:pt idx="10">
                  <c:v>99.300000000000011</c:v>
                </c:pt>
                <c:pt idx="11">
                  <c:v>98.6</c:v>
                </c:pt>
                <c:pt idx="12">
                  <c:v>98.5</c:v>
                </c:pt>
              </c:numCache>
            </c:numRef>
          </c:val>
          <c:smooth val="0"/>
          <c:extLst>
            <c:ext xmlns:c16="http://schemas.microsoft.com/office/drawing/2014/chart" uri="{C3380CC4-5D6E-409C-BE32-E72D297353CC}">
              <c16:uniqueId val="{00000001-77FE-4BFF-9F4F-F9960AA88E05}"/>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sonuçları'!$CZ$1:$DL$1</c:f>
              <c:strCache>
                <c:ptCount val="13"/>
                <c:pt idx="0">
                  <c:v>2025 Ocak</c:v>
                </c:pt>
                <c:pt idx="1">
                  <c:v>Şubat</c:v>
                </c:pt>
                <c:pt idx="2">
                  <c:v>Mart</c:v>
                </c:pt>
                <c:pt idx="3">
                  <c:v>Nisan</c:v>
                </c:pt>
                <c:pt idx="4">
                  <c:v>Mayıs</c:v>
                </c:pt>
                <c:pt idx="5">
                  <c:v>Haziran</c:v>
                </c:pt>
                <c:pt idx="6">
                  <c:v>Temmuz</c:v>
                </c:pt>
                <c:pt idx="7">
                  <c:v>Ağustos</c:v>
                </c:pt>
                <c:pt idx="8">
                  <c:v>Eylül</c:v>
                </c:pt>
                <c:pt idx="9">
                  <c:v>Ekim</c:v>
                </c:pt>
                <c:pt idx="10">
                  <c:v>Kasım</c:v>
                </c:pt>
                <c:pt idx="11">
                  <c:v>Aralık</c:v>
                </c:pt>
                <c:pt idx="12">
                  <c:v>2026 Ocak</c:v>
                </c:pt>
              </c:strCache>
            </c:strRef>
          </c:cat>
          <c:val>
            <c:numRef>
              <c:f>'endeks sonuçları'!$CZ$4:$DL$4</c:f>
              <c:numCache>
                <c:formatCode>General</c:formatCode>
                <c:ptCount val="13"/>
                <c:pt idx="0">
                  <c:v>99.3</c:v>
                </c:pt>
                <c:pt idx="1">
                  <c:v>100</c:v>
                </c:pt>
                <c:pt idx="2">
                  <c:v>98.949999999999989</c:v>
                </c:pt>
                <c:pt idx="3">
                  <c:v>99.699999999999989</c:v>
                </c:pt>
                <c:pt idx="4">
                  <c:v>99.2</c:v>
                </c:pt>
                <c:pt idx="5">
                  <c:v>99.5</c:v>
                </c:pt>
                <c:pt idx="6">
                  <c:v>100.30000000000001</c:v>
                </c:pt>
                <c:pt idx="7">
                  <c:v>99.699999999999989</c:v>
                </c:pt>
                <c:pt idx="8">
                  <c:v>99.800000000000011</c:v>
                </c:pt>
                <c:pt idx="9">
                  <c:v>99.699999999999989</c:v>
                </c:pt>
                <c:pt idx="10">
                  <c:v>99.800000000000011</c:v>
                </c:pt>
                <c:pt idx="11">
                  <c:v>99.6</c:v>
                </c:pt>
                <c:pt idx="12">
                  <c:v>99.7</c:v>
                </c:pt>
              </c:numCache>
            </c:numRef>
          </c:val>
          <c:smooth val="0"/>
          <c:extLst>
            <c:ext xmlns:c16="http://schemas.microsoft.com/office/drawing/2014/chart" uri="{C3380CC4-5D6E-409C-BE32-E72D297353CC}">
              <c16:uniqueId val="{00000002-77FE-4BFF-9F4F-F9960AA88E05}"/>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sonuçları'!$CZ$1:$DL$1</c:f>
              <c:strCache>
                <c:ptCount val="13"/>
                <c:pt idx="0">
                  <c:v>2025 Ocak</c:v>
                </c:pt>
                <c:pt idx="1">
                  <c:v>Şubat</c:v>
                </c:pt>
                <c:pt idx="2">
                  <c:v>Mart</c:v>
                </c:pt>
                <c:pt idx="3">
                  <c:v>Nisan</c:v>
                </c:pt>
                <c:pt idx="4">
                  <c:v>Mayıs</c:v>
                </c:pt>
                <c:pt idx="5">
                  <c:v>Haziran</c:v>
                </c:pt>
                <c:pt idx="6">
                  <c:v>Temmuz</c:v>
                </c:pt>
                <c:pt idx="7">
                  <c:v>Ağustos</c:v>
                </c:pt>
                <c:pt idx="8">
                  <c:v>Eylül</c:v>
                </c:pt>
                <c:pt idx="9">
                  <c:v>Ekim</c:v>
                </c:pt>
                <c:pt idx="10">
                  <c:v>Kasım</c:v>
                </c:pt>
                <c:pt idx="11">
                  <c:v>Aralık</c:v>
                </c:pt>
                <c:pt idx="12">
                  <c:v>2026 Ocak</c:v>
                </c:pt>
              </c:strCache>
            </c:strRef>
          </c:cat>
          <c:val>
            <c:numRef>
              <c:f>'endeks sonuçları'!$CZ$5:$DL$5</c:f>
              <c:numCache>
                <c:formatCode>0.0</c:formatCode>
                <c:ptCount val="13"/>
                <c:pt idx="0">
                  <c:v>98.911111111111111</c:v>
                </c:pt>
                <c:pt idx="1">
                  <c:v>99.433333333333337</c:v>
                </c:pt>
                <c:pt idx="2">
                  <c:v>99.233333333333334</c:v>
                </c:pt>
                <c:pt idx="3">
                  <c:v>99.444444444444443</c:v>
                </c:pt>
                <c:pt idx="4">
                  <c:v>99.455555555555563</c:v>
                </c:pt>
                <c:pt idx="5">
                  <c:v>99.188888888888883</c:v>
                </c:pt>
                <c:pt idx="6">
                  <c:v>100.25555555555557</c:v>
                </c:pt>
                <c:pt idx="7">
                  <c:v>99.666666666666671</c:v>
                </c:pt>
                <c:pt idx="8">
                  <c:v>99.544444444444437</c:v>
                </c:pt>
                <c:pt idx="9">
                  <c:v>99.62222222222222</c:v>
                </c:pt>
                <c:pt idx="10">
                  <c:v>99.677777777777791</c:v>
                </c:pt>
                <c:pt idx="11">
                  <c:v>99.422222222222217</c:v>
                </c:pt>
                <c:pt idx="12">
                  <c:v>99</c:v>
                </c:pt>
              </c:numCache>
            </c:numRef>
          </c:val>
          <c:smooth val="0"/>
          <c:extLst>
            <c:ext xmlns:c16="http://schemas.microsoft.com/office/drawing/2014/chart" uri="{C3380CC4-5D6E-409C-BE32-E72D297353CC}">
              <c16:uniqueId val="{00000003-77FE-4BFF-9F4F-F9960AA88E05}"/>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sonuçları'!$CZ$1:$DL$1</c:f>
              <c:strCache>
                <c:ptCount val="13"/>
                <c:pt idx="0">
                  <c:v>2025 Ocak</c:v>
                </c:pt>
                <c:pt idx="1">
                  <c:v>Şubat</c:v>
                </c:pt>
                <c:pt idx="2">
                  <c:v>Mart</c:v>
                </c:pt>
                <c:pt idx="3">
                  <c:v>Nisan</c:v>
                </c:pt>
                <c:pt idx="4">
                  <c:v>Mayıs</c:v>
                </c:pt>
                <c:pt idx="5">
                  <c:v>Haziran</c:v>
                </c:pt>
                <c:pt idx="6">
                  <c:v>Temmuz</c:v>
                </c:pt>
                <c:pt idx="7">
                  <c:v>Ağustos</c:v>
                </c:pt>
                <c:pt idx="8">
                  <c:v>Eylül</c:v>
                </c:pt>
                <c:pt idx="9">
                  <c:v>Ekim</c:v>
                </c:pt>
                <c:pt idx="10">
                  <c:v>Kasım</c:v>
                </c:pt>
                <c:pt idx="11">
                  <c:v>Aralık</c:v>
                </c:pt>
                <c:pt idx="12">
                  <c:v>2026 Ocak</c:v>
                </c:pt>
              </c:strCache>
            </c:strRef>
          </c:cat>
          <c:val>
            <c:numRef>
              <c:f>'endeks sonuçları'!$CZ$6:$DL$6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c:ext xmlns:c16="http://schemas.microsoft.com/office/drawing/2014/chart" uri="{C3380CC4-5D6E-409C-BE32-E72D297353CC}">
              <c16:uniqueId val="{00000004-77FE-4BFF-9F4F-F9960AA88E05}"/>
            </c:ext>
          </c:extLst>
        </c:ser>
        <c:dLbls>
          <c:showLegendKey val="0"/>
          <c:showVal val="1"/>
          <c:showCatName val="0"/>
          <c:showSerName val="0"/>
          <c:showPercent val="0"/>
          <c:showBubbleSize val="0"/>
        </c:dLbls>
        <c:smooth val="0"/>
        <c:axId val="209768448"/>
        <c:axId val="149600448"/>
      </c:lineChart>
      <c:catAx>
        <c:axId val="209768448"/>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49600448"/>
        <c:crosses val="autoZero"/>
        <c:auto val="1"/>
        <c:lblAlgn val="ctr"/>
        <c:lblOffset val="100"/>
        <c:noMultiLvlLbl val="0"/>
      </c:catAx>
      <c:valAx>
        <c:axId val="149600448"/>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209768448"/>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B9E-4BBD-B6F6-B4AC4C68C6DB}"/>
                </c:ext>
              </c:extLst>
            </c:dLbl>
            <c:dLbl>
              <c:idx val="1"/>
              <c:layout>
                <c:manualLayout>
                  <c:x val="-1.1876159152876401E-3"/>
                  <c:y val="-4.1666666666666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B9E-4BBD-B6F6-B4AC4C68C6DB}"/>
                </c:ext>
              </c:extLst>
            </c:dLbl>
            <c:dLbl>
              <c:idx val="2"/>
              <c:layout>
                <c:manualLayout>
                  <c:x val="-8.8183421516755661E-3"/>
                  <c:y val="-7.6939688094543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B9E-4BBD-B6F6-B4AC4C68C6DB}"/>
                </c:ext>
              </c:extLst>
            </c:dLbl>
            <c:dLbl>
              <c:idx val="3"/>
              <c:layout>
                <c:manualLayout>
                  <c:x val="9.3697859497864696E-4"/>
                  <c:y val="-1.94818405599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B9E-4BBD-B6F6-B4AC4C68C6DB}"/>
                </c:ext>
              </c:extLst>
            </c:dLbl>
            <c:spPr>
              <a:noFill/>
              <a:ln>
                <a:noFill/>
              </a:ln>
              <a:effectLst/>
            </c:spPr>
            <c:txPr>
              <a:bodyPr/>
              <a:lstStyle/>
              <a:p>
                <a:pPr>
                  <a:defRPr lang="tr-TR" sz="900"/>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sonuçları'!$DM$2:$DM$5</c:f>
              <c:numCache>
                <c:formatCode>0.0%</c:formatCode>
                <c:ptCount val="4"/>
                <c:pt idx="0">
                  <c:v>2.7063599458726469E-3</c:v>
                </c:pt>
                <c:pt idx="1">
                  <c:v>-4.0444893832154265E-3</c:v>
                </c:pt>
                <c:pt idx="2">
                  <c:v>4.0281973816717592E-3</c:v>
                </c:pt>
                <c:pt idx="3">
                  <c:v>8.9867445517860837E-4</c:v>
                </c:pt>
              </c:numCache>
            </c:numRef>
          </c:val>
          <c:extLst>
            <c:ext xmlns:c16="http://schemas.microsoft.com/office/drawing/2014/chart" uri="{C3380CC4-5D6E-409C-BE32-E72D297353CC}">
              <c16:uniqueId val="{00000004-7B9E-4BBD-B6F6-B4AC4C68C6DB}"/>
            </c:ext>
          </c:extLst>
        </c:ser>
        <c:dLbls>
          <c:showLegendKey val="0"/>
          <c:showVal val="0"/>
          <c:showCatName val="0"/>
          <c:showSerName val="0"/>
          <c:showPercent val="0"/>
          <c:showBubbleSize val="0"/>
        </c:dLbls>
        <c:gapWidth val="150"/>
        <c:shape val="box"/>
        <c:axId val="209768960"/>
        <c:axId val="153315008"/>
        <c:axId val="0"/>
      </c:bar3DChart>
      <c:catAx>
        <c:axId val="209768960"/>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153315008"/>
        <c:crosses val="autoZero"/>
        <c:auto val="1"/>
        <c:lblAlgn val="ctr"/>
        <c:lblOffset val="100"/>
        <c:noMultiLvlLbl val="0"/>
      </c:catAx>
      <c:valAx>
        <c:axId val="153315008"/>
        <c:scaling>
          <c:orientation val="minMax"/>
          <c:min val="-0.03"/>
        </c:scaling>
        <c:delete val="0"/>
        <c:axPos val="b"/>
        <c:numFmt formatCode="0.0%" sourceLinked="1"/>
        <c:majorTickMark val="out"/>
        <c:minorTickMark val="none"/>
        <c:tickLblPos val="nextTo"/>
        <c:txPr>
          <a:bodyPr/>
          <a:lstStyle/>
          <a:p>
            <a:pPr>
              <a:defRPr lang="tr-TR"/>
            </a:pPr>
            <a:endParaRPr lang="tr-TR"/>
          </a:p>
        </c:txPr>
        <c:crossAx val="209768960"/>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3.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AD5097-7764-4779-A575-F567AF6A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1052</Words>
  <Characters>6000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3</cp:revision>
  <cp:lastPrinted>2026-01-12T09:04:00Z</cp:lastPrinted>
  <dcterms:created xsi:type="dcterms:W3CDTF">2026-02-19T08:31:00Z</dcterms:created>
  <dcterms:modified xsi:type="dcterms:W3CDTF">2026-02-23T06:20:00Z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