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36CBF" w14:textId="3D973870" w:rsidR="009108C0" w:rsidRDefault="00BC1E27" w:rsidP="004017EF">
      <w:pPr>
        <w:pStyle w:val="AralkYok"/>
        <w:jc w:val="center"/>
        <w:rPr>
          <w:sz w:val="24"/>
          <w:szCs w:val="24"/>
          <w:u w:val="single"/>
        </w:rPr>
      </w:pPr>
      <w:r w:rsidRPr="0022066D">
        <w:rPr>
          <w:noProof/>
        </w:rPr>
        <w:drawing>
          <wp:inline distT="0" distB="0" distL="0" distR="0" wp14:anchorId="7C609653" wp14:editId="2073D615">
            <wp:extent cx="848563" cy="848563"/>
            <wp:effectExtent l="0" t="0" r="8890" b="8890"/>
            <wp:docPr id="2" name="Resim 2" descr="http://www.thbb.org/media/152843/thbb-zeminsiz-web.jpg?width=140&amp;height=140"/>
            <wp:cNvGraphicFramePr/>
            <a:graphic xmlns:a="http://schemas.openxmlformats.org/drawingml/2006/main">
              <a:graphicData uri="http://schemas.openxmlformats.org/drawingml/2006/picture">
                <pic:pic xmlns:pic="http://schemas.openxmlformats.org/drawingml/2006/picture">
                  <pic:nvPicPr>
                    <pic:cNvPr id="2" name="Resim 2" descr="http://www.thbb.org/media/152843/thbb-zeminsiz-web.jpg?width=140&amp;height=14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675" cy="847675"/>
                    </a:xfrm>
                    <a:prstGeom prst="rect">
                      <a:avLst/>
                    </a:prstGeom>
                    <a:noFill/>
                    <a:ln>
                      <a:noFill/>
                    </a:ln>
                  </pic:spPr>
                </pic:pic>
              </a:graphicData>
            </a:graphic>
          </wp:inline>
        </w:drawing>
      </w:r>
    </w:p>
    <w:p w14:paraId="79A86A3E" w14:textId="749CB116" w:rsidR="00BC1E27" w:rsidRDefault="00BC1E27" w:rsidP="009108C0">
      <w:pPr>
        <w:rPr>
          <w:rFonts w:ascii="Arial" w:hAnsi="Arial" w:cs="Arial"/>
          <w:b/>
          <w:szCs w:val="24"/>
          <w:u w:val="single"/>
        </w:rPr>
      </w:pPr>
      <w:r w:rsidRPr="00CC5A59">
        <w:rPr>
          <w:rFonts w:ascii="Arial" w:hAnsi="Arial" w:cs="Arial"/>
          <w:b/>
          <w:szCs w:val="24"/>
          <w:u w:val="single"/>
        </w:rPr>
        <w:t>BASIN BÜLTENİ</w:t>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17496">
        <w:rPr>
          <w:rFonts w:ascii="Arial" w:hAnsi="Arial" w:cs="Arial"/>
          <w:b/>
          <w:color w:val="0D0D0D" w:themeColor="text1" w:themeTint="F2"/>
          <w:szCs w:val="24"/>
          <w:u w:val="single"/>
        </w:rPr>
        <w:t xml:space="preserve">   </w:t>
      </w:r>
      <w:r w:rsidR="00D30D13" w:rsidRPr="00C17496">
        <w:rPr>
          <w:rFonts w:ascii="Arial" w:hAnsi="Arial" w:cs="Arial"/>
          <w:b/>
          <w:color w:val="0D0D0D" w:themeColor="text1" w:themeTint="F2"/>
          <w:szCs w:val="24"/>
          <w:u w:val="single"/>
        </w:rPr>
        <w:t xml:space="preserve">                        </w:t>
      </w:r>
      <w:r w:rsidR="00310050" w:rsidRPr="00C17496">
        <w:rPr>
          <w:rFonts w:ascii="Arial" w:hAnsi="Arial" w:cs="Arial"/>
          <w:b/>
          <w:color w:val="0D0D0D" w:themeColor="text1" w:themeTint="F2"/>
          <w:szCs w:val="24"/>
          <w:u w:val="single"/>
        </w:rPr>
        <w:t xml:space="preserve">       </w:t>
      </w:r>
      <w:r w:rsidR="00E00B13" w:rsidRPr="00C17496">
        <w:rPr>
          <w:rFonts w:ascii="Arial" w:hAnsi="Arial" w:cs="Arial"/>
          <w:b/>
          <w:color w:val="0D0D0D" w:themeColor="text1" w:themeTint="F2"/>
          <w:szCs w:val="24"/>
          <w:u w:val="single"/>
        </w:rPr>
        <w:t xml:space="preserve"> </w:t>
      </w:r>
      <w:r w:rsidR="00BA1ACC">
        <w:rPr>
          <w:rFonts w:ascii="Arial" w:hAnsi="Arial" w:cs="Arial"/>
          <w:b/>
          <w:color w:val="0D0D0D" w:themeColor="text1" w:themeTint="F2"/>
          <w:szCs w:val="24"/>
          <w:u w:val="single"/>
        </w:rPr>
        <w:t xml:space="preserve"> </w:t>
      </w:r>
      <w:r w:rsidR="00054AC3">
        <w:rPr>
          <w:rFonts w:ascii="Arial" w:hAnsi="Arial" w:cs="Arial"/>
          <w:b/>
          <w:color w:val="0D0D0D" w:themeColor="text1" w:themeTint="F2"/>
          <w:szCs w:val="24"/>
          <w:u w:val="single"/>
        </w:rPr>
        <w:t xml:space="preserve">      </w:t>
      </w:r>
      <w:r w:rsidR="003F3184">
        <w:rPr>
          <w:rFonts w:ascii="Arial" w:hAnsi="Arial" w:cs="Arial"/>
          <w:b/>
          <w:color w:val="0D0D0D" w:themeColor="text1" w:themeTint="F2"/>
          <w:szCs w:val="24"/>
          <w:u w:val="single"/>
        </w:rPr>
        <w:t>17</w:t>
      </w:r>
      <w:r w:rsidR="009448A3">
        <w:rPr>
          <w:rFonts w:ascii="Arial" w:hAnsi="Arial" w:cs="Arial"/>
          <w:b/>
          <w:color w:val="0D0D0D" w:themeColor="text1" w:themeTint="F2"/>
          <w:szCs w:val="24"/>
          <w:u w:val="single"/>
        </w:rPr>
        <w:t xml:space="preserve"> Mart</w:t>
      </w:r>
      <w:r w:rsidR="00EB2622" w:rsidRPr="007630DF">
        <w:rPr>
          <w:rFonts w:ascii="Arial" w:hAnsi="Arial" w:cs="Arial"/>
          <w:b/>
          <w:color w:val="0D0D0D" w:themeColor="text1" w:themeTint="F2"/>
          <w:szCs w:val="24"/>
          <w:u w:val="single"/>
        </w:rPr>
        <w:t xml:space="preserve"> </w:t>
      </w:r>
      <w:r w:rsidR="007D6058" w:rsidRPr="007630DF">
        <w:rPr>
          <w:rFonts w:ascii="Arial" w:hAnsi="Arial" w:cs="Arial"/>
          <w:b/>
          <w:szCs w:val="24"/>
          <w:u w:val="single"/>
        </w:rPr>
        <w:t>2</w:t>
      </w:r>
      <w:r w:rsidR="00727AAD">
        <w:rPr>
          <w:rFonts w:ascii="Arial" w:hAnsi="Arial" w:cs="Arial"/>
          <w:b/>
          <w:szCs w:val="24"/>
          <w:u w:val="single"/>
        </w:rPr>
        <w:t>026</w:t>
      </w:r>
    </w:p>
    <w:p w14:paraId="56913E3F" w14:textId="77777777" w:rsidR="008D5FA9" w:rsidRDefault="008D5FA9" w:rsidP="008D5FA9">
      <w:pPr>
        <w:spacing w:before="120" w:after="120" w:line="264" w:lineRule="auto"/>
        <w:jc w:val="center"/>
        <w:rPr>
          <w:rFonts w:ascii="Arial" w:hAnsi="Arial" w:cs="Arial"/>
          <w:b/>
          <w:sz w:val="32"/>
          <w:szCs w:val="28"/>
        </w:rPr>
      </w:pPr>
      <w:r w:rsidRPr="008D5FA9">
        <w:rPr>
          <w:rFonts w:ascii="Arial" w:hAnsi="Arial" w:cs="Arial"/>
          <w:b/>
          <w:sz w:val="32"/>
          <w:szCs w:val="28"/>
        </w:rPr>
        <w:t>İnşaat Sektörü Denge Arayışında</w:t>
      </w:r>
    </w:p>
    <w:p w14:paraId="6C6FD3C7" w14:textId="1D0DD7C5" w:rsidR="009D757C" w:rsidRDefault="00BC1E27" w:rsidP="0075174E">
      <w:pPr>
        <w:spacing w:before="120" w:after="120" w:line="264" w:lineRule="auto"/>
        <w:jc w:val="both"/>
        <w:rPr>
          <w:rFonts w:ascii="Arial" w:hAnsi="Arial" w:cs="Arial"/>
          <w:b/>
        </w:rPr>
      </w:pPr>
      <w:r w:rsidRPr="00A763F7">
        <w:rPr>
          <w:rFonts w:ascii="Arial" w:hAnsi="Arial" w:cs="Arial"/>
          <w:b/>
        </w:rPr>
        <w:t xml:space="preserve">Türkiye Hazır Beton Birliği (THBB), her ay merakla beklenen inşaat </w:t>
      </w:r>
      <w:r w:rsidR="00177525" w:rsidRPr="00A763F7">
        <w:rPr>
          <w:rFonts w:ascii="Arial" w:hAnsi="Arial" w:cs="Arial"/>
          <w:b/>
        </w:rPr>
        <w:t>ile</w:t>
      </w:r>
      <w:r w:rsidRPr="00A763F7">
        <w:rPr>
          <w:rFonts w:ascii="Arial" w:hAnsi="Arial" w:cs="Arial"/>
          <w:b/>
        </w:rPr>
        <w:t xml:space="preserve"> bağlantılı imalat ve hizmet sektörlerindeki mevcut durum ile beklenen gelişmeleri </w:t>
      </w:r>
      <w:r w:rsidR="007C60D3" w:rsidRPr="00A763F7">
        <w:rPr>
          <w:rFonts w:ascii="Arial" w:hAnsi="Arial" w:cs="Arial"/>
          <w:b/>
        </w:rPr>
        <w:t xml:space="preserve">gösteren </w:t>
      </w:r>
      <w:r w:rsidR="00744C20">
        <w:rPr>
          <w:rFonts w:ascii="Arial" w:hAnsi="Arial" w:cs="Arial"/>
          <w:b/>
        </w:rPr>
        <w:t>“Hazır Beton Endeksi” 2026</w:t>
      </w:r>
      <w:r w:rsidR="007715D0" w:rsidRPr="00A763F7">
        <w:rPr>
          <w:rFonts w:ascii="Arial" w:hAnsi="Arial" w:cs="Arial"/>
          <w:b/>
        </w:rPr>
        <w:t xml:space="preserve"> </w:t>
      </w:r>
      <w:r w:rsidR="005F12C0">
        <w:rPr>
          <w:rFonts w:ascii="Arial" w:hAnsi="Arial" w:cs="Arial"/>
          <w:b/>
        </w:rPr>
        <w:t>Şubat</w:t>
      </w:r>
      <w:r w:rsidR="005B47D9" w:rsidRPr="00A763F7">
        <w:rPr>
          <w:rFonts w:ascii="Arial" w:hAnsi="Arial" w:cs="Arial"/>
          <w:b/>
        </w:rPr>
        <w:t xml:space="preserve"> </w:t>
      </w:r>
      <w:r w:rsidRPr="00A763F7">
        <w:rPr>
          <w:rFonts w:ascii="Arial" w:hAnsi="Arial" w:cs="Arial"/>
          <w:b/>
        </w:rPr>
        <w:t>Ayı Raporu’nu açıkladı</w:t>
      </w:r>
      <w:r w:rsidR="00AB352F" w:rsidRPr="00A763F7">
        <w:rPr>
          <w:rFonts w:ascii="Arial" w:hAnsi="Arial" w:cs="Arial"/>
          <w:b/>
        </w:rPr>
        <w:t>.</w:t>
      </w:r>
      <w:r w:rsidR="003459BE" w:rsidRPr="00A763F7">
        <w:rPr>
          <w:rFonts w:ascii="Arial" w:hAnsi="Arial" w:cs="Arial"/>
          <w:b/>
        </w:rPr>
        <w:t xml:space="preserve"> </w:t>
      </w:r>
      <w:r w:rsidR="009D757C" w:rsidRPr="009D757C">
        <w:rPr>
          <w:rFonts w:ascii="Arial" w:hAnsi="Arial" w:cs="Arial"/>
          <w:b/>
        </w:rPr>
        <w:t>Faaliyet ve güven tarafında geçen yılın aynı dönemine kıyasl</w:t>
      </w:r>
      <w:r w:rsidR="009D757C">
        <w:rPr>
          <w:rFonts w:ascii="Arial" w:hAnsi="Arial" w:cs="Arial"/>
          <w:b/>
        </w:rPr>
        <w:t>a hafif bir iyileşme görülürken</w:t>
      </w:r>
      <w:r w:rsidR="009D757C" w:rsidRPr="009D757C">
        <w:t xml:space="preserve"> </w:t>
      </w:r>
      <w:r w:rsidR="009D757C" w:rsidRPr="009D757C">
        <w:rPr>
          <w:rFonts w:ascii="Arial" w:hAnsi="Arial" w:cs="Arial"/>
          <w:b/>
        </w:rPr>
        <w:t xml:space="preserve">tüm endekslerin eşik değerin altında kalması, inşaat faaliyetlerinde henüz güçlü ve kalıcı bir ivmenin </w:t>
      </w:r>
      <w:r w:rsidR="009D757C">
        <w:rPr>
          <w:rFonts w:ascii="Arial" w:hAnsi="Arial" w:cs="Arial"/>
          <w:b/>
        </w:rPr>
        <w:t>oluşmadığını ortaya koydu.</w:t>
      </w:r>
    </w:p>
    <w:p w14:paraId="49949D67" w14:textId="191C7C32" w:rsidR="00BF2BDC" w:rsidRPr="008E36DA" w:rsidRDefault="00BC1E27" w:rsidP="0075174E">
      <w:pPr>
        <w:spacing w:before="120" w:after="120" w:line="264" w:lineRule="auto"/>
        <w:jc w:val="both"/>
        <w:rPr>
          <w:rFonts w:ascii="Arial" w:hAnsi="Arial" w:cs="Arial"/>
        </w:rPr>
      </w:pPr>
      <w:r w:rsidRPr="008E36DA">
        <w:rPr>
          <w:rFonts w:ascii="Arial" w:hAnsi="Arial" w:cs="Arial"/>
        </w:rPr>
        <w:t xml:space="preserve">Türkiye Hazır Beton Birliği (THBB) </w:t>
      </w:r>
      <w:r w:rsidR="006A7E7B" w:rsidRPr="008E36DA">
        <w:rPr>
          <w:rFonts w:ascii="Arial" w:hAnsi="Arial" w:cs="Arial"/>
        </w:rPr>
        <w:t>her ay açıkladığı Hazır Beton Endeksi ile Türkiye’de inşaat sektörü ve bağlantılı imalat ve hizmet sektörlerindeki mevcut durumu ve beklenen gelişmeleri ortaya koymaktadır.</w:t>
      </w:r>
      <w:r w:rsidR="00BF2BDC" w:rsidRPr="008E36DA">
        <w:rPr>
          <w:rFonts w:ascii="Arial" w:hAnsi="Arial" w:cs="Arial"/>
        </w:rPr>
        <w:t xml:space="preserve"> İnşaat sektörünün en temel girdilerinden biri olan ve aynı zamanda üretiminden sonra kısa bir süre içerisinde stoklanmadan inşaatlarda kullanılan hazır betonla ilgili bu Endeks, inşaat sektörünün büyüme hızını ortaya koyan öncü bir göstergedir.</w:t>
      </w:r>
    </w:p>
    <w:p w14:paraId="40BF160B" w14:textId="77777777" w:rsidR="008D5FA9" w:rsidRPr="008D5FA9" w:rsidRDefault="00042A9E" w:rsidP="008D5FA9">
      <w:pPr>
        <w:spacing w:before="120" w:after="120" w:line="264" w:lineRule="auto"/>
        <w:jc w:val="both"/>
        <w:rPr>
          <w:rFonts w:ascii="Arial" w:hAnsi="Arial" w:cs="Arial"/>
        </w:rPr>
      </w:pPr>
      <w:r w:rsidRPr="008E36DA">
        <w:rPr>
          <w:rFonts w:ascii="Arial" w:hAnsi="Arial" w:cs="Arial"/>
        </w:rPr>
        <w:t>Hazır Beton Endeks</w:t>
      </w:r>
      <w:r w:rsidR="00F33027" w:rsidRPr="008E36DA">
        <w:rPr>
          <w:rFonts w:ascii="Arial" w:hAnsi="Arial" w:cs="Arial"/>
        </w:rPr>
        <w:t>i</w:t>
      </w:r>
      <w:r w:rsidR="00B96BC0" w:rsidRPr="008E36DA">
        <w:rPr>
          <w:rFonts w:ascii="Arial" w:hAnsi="Arial" w:cs="Arial"/>
        </w:rPr>
        <w:t xml:space="preserve"> </w:t>
      </w:r>
      <w:r w:rsidR="00744C20">
        <w:rPr>
          <w:rFonts w:ascii="Arial" w:hAnsi="Arial" w:cs="Arial"/>
        </w:rPr>
        <w:t>2026</w:t>
      </w:r>
      <w:r w:rsidR="00A95C9D">
        <w:rPr>
          <w:rFonts w:ascii="Arial" w:hAnsi="Arial" w:cs="Arial"/>
        </w:rPr>
        <w:t xml:space="preserve"> </w:t>
      </w:r>
      <w:r w:rsidR="005F12C0">
        <w:rPr>
          <w:rFonts w:ascii="Arial" w:hAnsi="Arial" w:cs="Arial"/>
        </w:rPr>
        <w:t>Şubat</w:t>
      </w:r>
      <w:r w:rsidR="00F1456F">
        <w:rPr>
          <w:rFonts w:ascii="Arial" w:hAnsi="Arial" w:cs="Arial"/>
        </w:rPr>
        <w:t xml:space="preserve"> </w:t>
      </w:r>
      <w:r w:rsidR="00177525" w:rsidRPr="008E36DA">
        <w:rPr>
          <w:rFonts w:ascii="Arial" w:hAnsi="Arial" w:cs="Arial"/>
        </w:rPr>
        <w:t>Ayı R</w:t>
      </w:r>
      <w:r w:rsidR="00A4709D" w:rsidRPr="008E36DA">
        <w:rPr>
          <w:rFonts w:ascii="Arial" w:hAnsi="Arial" w:cs="Arial"/>
        </w:rPr>
        <w:t>apor</w:t>
      </w:r>
      <w:r w:rsidR="00A22047" w:rsidRPr="008E36DA">
        <w:rPr>
          <w:rFonts w:ascii="Arial" w:hAnsi="Arial" w:cs="Arial"/>
        </w:rPr>
        <w:t>u</w:t>
      </w:r>
      <w:r w:rsidR="00177525" w:rsidRPr="008E36DA">
        <w:rPr>
          <w:rFonts w:ascii="Arial" w:hAnsi="Arial" w:cs="Arial"/>
        </w:rPr>
        <w:t>’</w:t>
      </w:r>
      <w:r w:rsidR="00A22047" w:rsidRPr="008E36DA">
        <w:rPr>
          <w:rFonts w:ascii="Arial" w:hAnsi="Arial" w:cs="Arial"/>
        </w:rPr>
        <w:t>na</w:t>
      </w:r>
      <w:r w:rsidR="005B47D9">
        <w:rPr>
          <w:rFonts w:ascii="Arial" w:hAnsi="Arial" w:cs="Arial"/>
        </w:rPr>
        <w:t xml:space="preserve"> göre </w:t>
      </w:r>
      <w:r w:rsidR="008D5FA9" w:rsidRPr="008D5FA9">
        <w:rPr>
          <w:rFonts w:ascii="Arial" w:hAnsi="Arial" w:cs="Arial"/>
        </w:rPr>
        <w:t>Tüm endeksler, 2025 yılının büyük bölümünde eşik değerin altında dalgalı bir seyir izledikten sonra, yılın son çeyreğinde eşik değere doğru sınırlı bir toparlanma eğilimi göstermiş, ancak 2026 ocak ayında bu toparlanma yerini yeniden zayıflamaya bırakmıştır.</w:t>
      </w:r>
    </w:p>
    <w:p w14:paraId="7DBD6EEC" w14:textId="77777777" w:rsidR="008D5FA9" w:rsidRPr="008D5FA9" w:rsidRDefault="008D5FA9" w:rsidP="008D5FA9">
      <w:pPr>
        <w:spacing w:before="120" w:after="120" w:line="264" w:lineRule="auto"/>
        <w:jc w:val="both"/>
        <w:rPr>
          <w:rFonts w:ascii="Arial" w:hAnsi="Arial" w:cs="Arial"/>
        </w:rPr>
      </w:pPr>
      <w:r w:rsidRPr="008D5FA9">
        <w:rPr>
          <w:rFonts w:ascii="Arial" w:hAnsi="Arial" w:cs="Arial"/>
        </w:rPr>
        <w:t>Şubat ayında ise endekslerde, ocak ayındaki düşüşün ardından az da olsa bir artış eğilimi görülmektedir. Faaliyet ve Güven Endeksleri ocak ayına kıyasla yükselirken, Beklenti Endeksi sınırlı bir gerileme göstermiştir. Buna rağmen tüm endekslerin eşik değerin altında kalması, sektörde henüz güçlü bir toparlanma oluşmadığına işaret etmektedir.</w:t>
      </w:r>
    </w:p>
    <w:p w14:paraId="67554626" w14:textId="77777777" w:rsidR="008D5FA9" w:rsidRPr="008D5FA9" w:rsidRDefault="008D5FA9" w:rsidP="008D5FA9">
      <w:pPr>
        <w:spacing w:before="120" w:after="120" w:line="264" w:lineRule="auto"/>
        <w:jc w:val="both"/>
        <w:rPr>
          <w:rFonts w:ascii="Arial" w:hAnsi="Arial" w:cs="Arial"/>
        </w:rPr>
      </w:pPr>
      <w:r w:rsidRPr="008D5FA9">
        <w:rPr>
          <w:rFonts w:ascii="Arial" w:hAnsi="Arial" w:cs="Arial"/>
        </w:rPr>
        <w:t xml:space="preserve">Güven Endeksi, 2025 yılı boyunca görece zayıf bir seyir izledikten sonra 2026 ocak ayında </w:t>
      </w:r>
      <w:proofErr w:type="gramStart"/>
      <w:r w:rsidRPr="008D5FA9">
        <w:rPr>
          <w:rFonts w:ascii="Arial" w:hAnsi="Arial" w:cs="Arial"/>
        </w:rPr>
        <w:t>gerilemiş</w:t>
      </w:r>
      <w:proofErr w:type="gramEnd"/>
      <w:r w:rsidRPr="008D5FA9">
        <w:rPr>
          <w:rFonts w:ascii="Arial" w:hAnsi="Arial" w:cs="Arial"/>
        </w:rPr>
        <w:t>, şubat ayında ise yeniden yükselerek Faaliyet Endeksi’ne yakın bir seviyeye ulaşmıştır. Bu durum, sektörde güven algısının ocak ayındaki zayıflamanın ardından kısmen toparlandığına işaret etmektedir.</w:t>
      </w:r>
    </w:p>
    <w:p w14:paraId="4D7107BB" w14:textId="77777777" w:rsidR="008D5FA9" w:rsidRPr="008D5FA9" w:rsidRDefault="008D5FA9" w:rsidP="008D5FA9">
      <w:pPr>
        <w:spacing w:before="120" w:after="120" w:line="264" w:lineRule="auto"/>
        <w:jc w:val="both"/>
        <w:rPr>
          <w:rFonts w:ascii="Arial" w:hAnsi="Arial" w:cs="Arial"/>
        </w:rPr>
      </w:pPr>
      <w:r w:rsidRPr="008D5FA9">
        <w:rPr>
          <w:rFonts w:ascii="Arial" w:hAnsi="Arial" w:cs="Arial"/>
        </w:rPr>
        <w:t>Faaliyet Endeksi, yaz aylarındaki yükselişin ardından sonbahar aylarında dengelenmiş, aralık ayında eşik değere oldukça yakın bir seviyede yatay seyrini sürdürmüştür. Ocak ayında belirgin şekilde gerileyen Faaliyet Endeksi, şubat ayında yeniden yükselerek kaybının önemli bir kısmını telafi etmiştir. Buna karşın endeksin hâlen eşik değerin altında kalması, faaliyet tarafındaki toparlanmanın sınırlı olduğuna işaret etmektedir.</w:t>
      </w:r>
    </w:p>
    <w:p w14:paraId="0442684E" w14:textId="77777777" w:rsidR="008D5FA9" w:rsidRPr="008D5FA9" w:rsidRDefault="008D5FA9" w:rsidP="008D5FA9">
      <w:pPr>
        <w:spacing w:before="120" w:after="120" w:line="264" w:lineRule="auto"/>
        <w:jc w:val="both"/>
        <w:rPr>
          <w:rFonts w:ascii="Arial" w:hAnsi="Arial" w:cs="Arial"/>
        </w:rPr>
      </w:pPr>
      <w:r w:rsidRPr="008D5FA9">
        <w:rPr>
          <w:rFonts w:ascii="Arial" w:hAnsi="Arial" w:cs="Arial"/>
        </w:rPr>
        <w:t>Beklenti Endeksi ise yıl boyunca görece istikrarlı bir görünüm sergilemiştir. Ocak ayında diğer endekslerden ayrışarak daha güçlü bir görünüm sunan Beklenti Endeksi, şubat ayında sınırlı bir düşüş göstermiştir. Bu gerilemenin oldukça sınırlı olması, sektörün önümüzdeki döneme ilişkin beklentilerinde önemli bir bozulma olmadığını göstermektedir.</w:t>
      </w:r>
    </w:p>
    <w:p w14:paraId="217BBD81" w14:textId="02A823E0" w:rsidR="005F12C0" w:rsidRDefault="008D5FA9" w:rsidP="008D5FA9">
      <w:pPr>
        <w:spacing w:before="120" w:after="120" w:line="264" w:lineRule="auto"/>
        <w:jc w:val="both"/>
        <w:rPr>
          <w:rFonts w:ascii="Arial" w:hAnsi="Arial" w:cs="Arial"/>
        </w:rPr>
      </w:pPr>
      <w:r w:rsidRPr="008D5FA9">
        <w:rPr>
          <w:rFonts w:ascii="Arial" w:hAnsi="Arial" w:cs="Arial"/>
        </w:rPr>
        <w:t>Genel olarak değerlendirildiğinde şubat ayında faaliyet ve güven tarafında toparlanma, beklenti tarafında ise sınırlı bir gerileme ile birlikte endekslerin birbirine yakın bir seyir sergilediği görülmektedir.</w:t>
      </w:r>
    </w:p>
    <w:p w14:paraId="3FB7D98E" w14:textId="18CDF894" w:rsidR="008D5FA9" w:rsidRPr="008D5FA9" w:rsidRDefault="00727AAD" w:rsidP="008D5FA9">
      <w:pPr>
        <w:spacing w:before="120" w:after="120" w:line="264" w:lineRule="auto"/>
        <w:jc w:val="both"/>
        <w:rPr>
          <w:rFonts w:ascii="Arial" w:hAnsi="Arial" w:cs="Arial"/>
        </w:rPr>
      </w:pPr>
      <w:r>
        <w:rPr>
          <w:rFonts w:ascii="Arial" w:hAnsi="Arial" w:cs="Arial"/>
        </w:rPr>
        <w:t xml:space="preserve">Geçen yılın aynı ayına göre bakıldığında, </w:t>
      </w:r>
      <w:r w:rsidR="008D5FA9">
        <w:rPr>
          <w:rFonts w:ascii="Arial" w:hAnsi="Arial" w:cs="Arial"/>
        </w:rPr>
        <w:t>ş</w:t>
      </w:r>
      <w:r w:rsidR="008D5FA9" w:rsidRPr="008D5FA9">
        <w:rPr>
          <w:rFonts w:ascii="Arial" w:hAnsi="Arial" w:cs="Arial"/>
        </w:rPr>
        <w:t>ubat ayında endekslerde sınırlı ve dengeli bir yıllık görünüm dikkat çekmektedir. Faaliyet ve güven tarafında geçen yılın aynı dönemine kıyasla hafif bir iyileşme görülürken, beklenti tarafındaki değişim de negatif yönlü olmuştur. Bu tablo, sektörün yıllık bazda belirgin bir büyüme ya da daralma göstermediğine işaret etmektedir.</w:t>
      </w:r>
    </w:p>
    <w:p w14:paraId="0B21F24F" w14:textId="77777777" w:rsidR="008D5FA9" w:rsidRPr="008D5FA9" w:rsidRDefault="008D5FA9" w:rsidP="008D5FA9">
      <w:pPr>
        <w:spacing w:before="120" w:after="120" w:line="264" w:lineRule="auto"/>
        <w:jc w:val="both"/>
        <w:rPr>
          <w:rFonts w:ascii="Arial" w:hAnsi="Arial" w:cs="Arial"/>
        </w:rPr>
      </w:pPr>
      <w:r w:rsidRPr="008D5FA9">
        <w:rPr>
          <w:rFonts w:ascii="Arial" w:hAnsi="Arial" w:cs="Arial"/>
        </w:rPr>
        <w:t>Ocak ayında aylık bazda yaşanan belirgin gerilemenin ardından şubat ayında faaliyet ve güven tarafında görülen toparlanma, sektörün yılın ilk ayındaki zayıflamanın ardından yeniden denge arayışına girdiğini göstermektedir. Buna karşın tüm endekslerin eşik değerin altında kalması, inşaat faaliyetlerinde henüz güçlü ve kalıcı bir ivmenin oluşmadığını ortaya koymaktadır.</w:t>
      </w:r>
    </w:p>
    <w:p w14:paraId="6E3DA44F" w14:textId="39E5A3EF" w:rsidR="005F12C0" w:rsidRDefault="008D5FA9" w:rsidP="008D5FA9">
      <w:pPr>
        <w:spacing w:before="120" w:after="120" w:line="264" w:lineRule="auto"/>
        <w:jc w:val="both"/>
        <w:rPr>
          <w:rFonts w:ascii="Arial" w:hAnsi="Arial" w:cs="Arial"/>
        </w:rPr>
      </w:pPr>
      <w:r w:rsidRPr="008D5FA9">
        <w:rPr>
          <w:rFonts w:ascii="Arial" w:hAnsi="Arial" w:cs="Arial"/>
        </w:rPr>
        <w:lastRenderedPageBreak/>
        <w:t>Genel olarak değerlendirildiğinde, 2026 yılının ilk iki ayında sektör</w:t>
      </w:r>
      <w:r>
        <w:rPr>
          <w:rFonts w:ascii="Arial" w:hAnsi="Arial" w:cs="Arial"/>
        </w:rPr>
        <w:t xml:space="preserve"> faaliyetlerinin dalgalı ancak </w:t>
      </w:r>
      <w:r w:rsidRPr="008D5FA9">
        <w:rPr>
          <w:rFonts w:ascii="Arial" w:hAnsi="Arial" w:cs="Arial"/>
        </w:rPr>
        <w:t>dengeli bir seyir izlediği söylenebilir Beklenti tarafındaki sınırlı oynaklığa karşın faaliyet tarafındaki hareketlerin sektördeki kısa vadeli koşullara daha duyarlı olduğunu göstermektedir.</w:t>
      </w:r>
    </w:p>
    <w:p w14:paraId="44125384" w14:textId="165E93FA" w:rsidR="00FB0C03" w:rsidRDefault="00D4198C" w:rsidP="00744C20">
      <w:pPr>
        <w:spacing w:before="120" w:after="120" w:line="264" w:lineRule="auto"/>
        <w:jc w:val="both"/>
        <w:rPr>
          <w:rFonts w:ascii="Arial" w:hAnsi="Arial" w:cs="Arial"/>
        </w:rPr>
      </w:pPr>
      <w:r w:rsidRPr="00D4198C">
        <w:rPr>
          <w:rFonts w:ascii="Arial" w:hAnsi="Arial" w:cs="Arial"/>
        </w:rPr>
        <w:t>Raporun sonuçlarını değerlendiren Türkiye Hazır Beton Birliği (THBB) Yönetim Kurulu Başkanı Yavuz Işık, “</w:t>
      </w:r>
      <w:r w:rsidR="0075174E" w:rsidRPr="0075174E">
        <w:rPr>
          <w:rFonts w:ascii="Arial" w:hAnsi="Arial" w:cs="Arial"/>
        </w:rPr>
        <w:t>Ocak ayında belirgin şekilde gerileyen Faaliyet Endeksi, şubat ayında yeniden yükselerek kaybının önemli bir kısmını telafi etmiştir. Buna karşın endeksin hâlen eşik değerin altında kalması, faaliyet tarafındaki toparlanmanın sınırlı olduğuna işaret etmektedir.</w:t>
      </w:r>
      <w:r w:rsidR="00FB0C03">
        <w:rPr>
          <w:rFonts w:ascii="Arial" w:hAnsi="Arial" w:cs="Arial"/>
        </w:rPr>
        <w:t>” dedi.</w:t>
      </w:r>
    </w:p>
    <w:p w14:paraId="7C338341" w14:textId="08A9B34B" w:rsidR="00D4198C" w:rsidRPr="00744C20" w:rsidRDefault="00EC3DDD" w:rsidP="00744C20">
      <w:pPr>
        <w:spacing w:before="120" w:after="120" w:line="264" w:lineRule="auto"/>
        <w:jc w:val="both"/>
        <w:rPr>
          <w:rFonts w:ascii="Arial" w:hAnsi="Arial" w:cs="Arial"/>
        </w:rPr>
      </w:pPr>
      <w:r w:rsidRPr="00EC3DDD">
        <w:rPr>
          <w:rFonts w:ascii="Arial" w:hAnsi="Arial" w:cs="Arial"/>
        </w:rPr>
        <w:t xml:space="preserve">İnşaat sektörüyle </w:t>
      </w:r>
      <w:r w:rsidR="000E71DB" w:rsidRPr="000E71DB">
        <w:rPr>
          <w:rFonts w:ascii="Arial" w:hAnsi="Arial" w:cs="Arial"/>
        </w:rPr>
        <w:t>ilgili değerlendirmelerde bulunan</w:t>
      </w:r>
      <w:r w:rsidR="000E71DB">
        <w:rPr>
          <w:rFonts w:ascii="Arial" w:hAnsi="Arial" w:cs="Arial"/>
        </w:rPr>
        <w:t xml:space="preserve"> </w:t>
      </w:r>
      <w:r w:rsidR="00821637">
        <w:rPr>
          <w:rFonts w:ascii="Arial" w:hAnsi="Arial" w:cs="Arial"/>
        </w:rPr>
        <w:t>THBB Başkanı Yavuz Işık, “</w:t>
      </w:r>
      <w:r w:rsidR="008D5FA9" w:rsidRPr="008D5FA9">
        <w:rPr>
          <w:rFonts w:ascii="Arial" w:hAnsi="Arial" w:cs="Arial"/>
        </w:rPr>
        <w:t>2026 yılının şubat ayında Türkiye’de inşaat sektörü, arz tarafında devam eden faaliyetlere rağmen beklenti ve güven göstergelerindeki zayıflık nedeniyle temkinli bir görünüm sergilemiştir. Türkiye İstatistik Kurumu (TÜİK) verilerine göre sektörde faaliyet gösteren firmaların güvenini ölçen inşaat sektörü güven endeksi şubat ayında bir önceki aya göre düşerek 83,9 seviyesine gerilemiş ve sektörün hâlen iyimser bölgede olmadığını göstermiştir. Buna karşın son üç ayda gerçekleşen faaliyetlere ilişkin alt göstergelerde sınırlı bir artış görülmesi, faaliyetlerin yeterli seviyede olmasa da devam ettiğini ortaya koymaktadır. Bununla birlikte finansman maliyetlerinin hâlen yüksek seyretmesi ve maliyet baskıları, sektörün önümüzdeki dönemde kısa vadeli görünümünü sınırlayan temel unsurlar olarak öne çıkmaktadır.</w:t>
      </w:r>
      <w:r w:rsidR="00D4198C" w:rsidRPr="00D4198C">
        <w:rPr>
          <w:rFonts w:ascii="Arial" w:hAnsi="Arial" w:cs="Arial"/>
        </w:rPr>
        <w:t>”</w:t>
      </w:r>
      <w:r w:rsidR="00FB0C03">
        <w:rPr>
          <w:rFonts w:ascii="Arial" w:hAnsi="Arial" w:cs="Arial"/>
        </w:rPr>
        <w:t xml:space="preserve"> dedi.</w:t>
      </w:r>
    </w:p>
    <w:p w14:paraId="448608E8" w14:textId="18858A39" w:rsidR="006C6DAD" w:rsidRDefault="008E2225" w:rsidP="006C6DAD">
      <w:pPr>
        <w:spacing w:after="120"/>
        <w:jc w:val="center"/>
        <w:outlineLvl w:val="1"/>
        <w:rPr>
          <w:rFonts w:ascii="Arial" w:hAnsi="Arial" w:cs="Arial"/>
          <w:b/>
        </w:rPr>
      </w:pPr>
      <w:r w:rsidRPr="0022066D">
        <w:rPr>
          <w:rFonts w:ascii="Arial" w:hAnsi="Arial" w:cs="Arial"/>
          <w:b/>
        </w:rPr>
        <w:t>Grafik</w:t>
      </w:r>
      <w:r w:rsidR="00384D4B">
        <w:rPr>
          <w:rFonts w:ascii="Arial" w:hAnsi="Arial" w:cs="Arial"/>
          <w:b/>
        </w:rPr>
        <w:t xml:space="preserve"> </w:t>
      </w:r>
      <w:r w:rsidRPr="0022066D">
        <w:rPr>
          <w:rFonts w:ascii="Arial" w:hAnsi="Arial" w:cs="Arial"/>
          <w:b/>
        </w:rPr>
        <w:t xml:space="preserve">1: Endeks </w:t>
      </w:r>
      <w:r w:rsidR="00965EC8" w:rsidRPr="0022066D">
        <w:rPr>
          <w:rFonts w:ascii="Arial" w:hAnsi="Arial" w:cs="Arial"/>
          <w:b/>
        </w:rPr>
        <w:t>Değerleri</w:t>
      </w:r>
      <w:r w:rsidR="00965EC8">
        <w:rPr>
          <w:noProof/>
        </w:rPr>
        <w:t xml:space="preserve"> </w:t>
      </w:r>
      <w:r w:rsidR="005F12C0">
        <w:rPr>
          <w:noProof/>
        </w:rPr>
        <w:drawing>
          <wp:inline distT="0" distB="0" distL="0" distR="0" wp14:anchorId="460B2697" wp14:editId="2AAC3236">
            <wp:extent cx="5760720" cy="3875405"/>
            <wp:effectExtent l="0" t="0" r="11430" b="10795"/>
            <wp:docPr id="156588011" name="Grafik 1">
              <a:extLst xmlns:a="http://schemas.openxmlformats.org/drawingml/2006/main">
                <a:ext uri="{FF2B5EF4-FFF2-40B4-BE49-F238E27FC236}">
                  <a16:creationId xmlns:a16="http://schemas.microsoft.com/office/drawing/2014/main" id="{00000000-0008-0000-0000-00006B1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D00A08B" w14:textId="77777777" w:rsidR="00965EC8" w:rsidRDefault="00965EC8" w:rsidP="00671ED7">
      <w:pPr>
        <w:spacing w:before="230" w:after="115"/>
        <w:contextualSpacing/>
        <w:jc w:val="center"/>
        <w:outlineLvl w:val="1"/>
        <w:rPr>
          <w:rFonts w:ascii="Arial" w:hAnsi="Arial" w:cs="Arial"/>
          <w:b/>
        </w:rPr>
      </w:pPr>
    </w:p>
    <w:p w14:paraId="49655C95" w14:textId="509DA92D" w:rsidR="00671ED7" w:rsidRDefault="008E2225" w:rsidP="00671ED7">
      <w:pPr>
        <w:spacing w:before="230" w:after="115"/>
        <w:contextualSpacing/>
        <w:jc w:val="center"/>
        <w:outlineLvl w:val="1"/>
        <w:rPr>
          <w:rFonts w:ascii="Arial" w:hAnsi="Arial" w:cs="Arial"/>
          <w:b/>
        </w:rPr>
      </w:pPr>
      <w:r w:rsidRPr="0022066D">
        <w:rPr>
          <w:rFonts w:ascii="Arial" w:hAnsi="Arial" w:cs="Arial"/>
          <w:b/>
        </w:rPr>
        <w:t>Grafik</w:t>
      </w:r>
      <w:r w:rsidR="00384D4B">
        <w:rPr>
          <w:rFonts w:ascii="Arial" w:hAnsi="Arial" w:cs="Arial"/>
          <w:b/>
        </w:rPr>
        <w:t xml:space="preserve"> </w:t>
      </w:r>
      <w:r w:rsidRPr="0022066D">
        <w:rPr>
          <w:rFonts w:ascii="Arial" w:hAnsi="Arial" w:cs="Arial"/>
          <w:b/>
        </w:rPr>
        <w:t>2: Endeks Değerlerindeki Değişim (Önceki Yılın Aynı Ayına Göre, %)</w:t>
      </w:r>
    </w:p>
    <w:p w14:paraId="7F9B9B15" w14:textId="157916C5" w:rsidR="00D2194E" w:rsidRDefault="005F12C0" w:rsidP="00447336">
      <w:pPr>
        <w:spacing w:before="230" w:after="115"/>
        <w:contextualSpacing/>
        <w:jc w:val="center"/>
        <w:outlineLvl w:val="1"/>
        <w:rPr>
          <w:rFonts w:ascii="Arial" w:hAnsi="Arial" w:cs="Arial"/>
          <w:b/>
        </w:rPr>
      </w:pPr>
      <w:r>
        <w:rPr>
          <w:noProof/>
        </w:rPr>
        <w:drawing>
          <wp:inline distT="0" distB="0" distL="0" distR="0" wp14:anchorId="616B2DD3" wp14:editId="0B9A314C">
            <wp:extent cx="5760720" cy="1508760"/>
            <wp:effectExtent l="0" t="0" r="11430" b="15240"/>
            <wp:docPr id="1677122198" name="Grafik 1">
              <a:extLst xmlns:a="http://schemas.openxmlformats.org/drawingml/2006/main">
                <a:ext uri="{FF2B5EF4-FFF2-40B4-BE49-F238E27FC236}">
                  <a16:creationId xmlns:a16="http://schemas.microsoft.com/office/drawing/2014/main" id="{00000000-0008-0000-0000-00006C1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6145E4F" w14:textId="77777777" w:rsidR="00965EC8" w:rsidRDefault="00965EC8" w:rsidP="007800F7">
      <w:pPr>
        <w:jc w:val="both"/>
        <w:rPr>
          <w:rFonts w:ascii="Arial" w:hAnsi="Arial" w:cs="Arial"/>
          <w:b/>
        </w:rPr>
      </w:pPr>
    </w:p>
    <w:p w14:paraId="6672DFFA" w14:textId="77777777" w:rsidR="00965EC8" w:rsidRDefault="00965EC8" w:rsidP="007800F7">
      <w:pPr>
        <w:jc w:val="both"/>
        <w:rPr>
          <w:rFonts w:ascii="Arial" w:hAnsi="Arial" w:cs="Arial"/>
          <w:b/>
        </w:rPr>
      </w:pPr>
    </w:p>
    <w:p w14:paraId="30CFC82E" w14:textId="77777777" w:rsidR="00D51E96" w:rsidRDefault="00BC1E27" w:rsidP="007800F7">
      <w:pPr>
        <w:jc w:val="both"/>
        <w:rPr>
          <w:rFonts w:ascii="Arial" w:hAnsi="Arial" w:cs="Arial"/>
          <w:b/>
          <w:noProof/>
          <w:sz w:val="16"/>
          <w:szCs w:val="16"/>
          <w:u w:val="single"/>
        </w:rPr>
      </w:pPr>
      <w:r w:rsidRPr="0022066D">
        <w:rPr>
          <w:rFonts w:ascii="Arial" w:hAnsi="Arial" w:cs="Arial"/>
          <w:b/>
          <w:noProof/>
          <w:sz w:val="16"/>
          <w:szCs w:val="16"/>
          <w:u w:val="single"/>
        </w:rPr>
        <w:lastRenderedPageBreak/>
        <w:t>Hazır Beton Endeksi hakkında</w:t>
      </w:r>
    </w:p>
    <w:p w14:paraId="2E3F6A00" w14:textId="77777777" w:rsidR="00BC1E27" w:rsidRDefault="00BC1E27" w:rsidP="007800F7">
      <w:pPr>
        <w:jc w:val="both"/>
        <w:rPr>
          <w:rFonts w:ascii="Arial" w:hAnsi="Arial" w:cs="Arial"/>
          <w:sz w:val="16"/>
          <w:szCs w:val="16"/>
        </w:rPr>
      </w:pPr>
      <w:r w:rsidRPr="0022066D">
        <w:rPr>
          <w:rFonts w:ascii="Arial" w:hAnsi="Arial" w:cs="Arial"/>
          <w:sz w:val="16"/>
          <w:szCs w:val="16"/>
        </w:rPr>
        <w:t>Söz konusu endekslerin oluşturulmasına esas t</w:t>
      </w:r>
      <w:r w:rsidR="00E873D4">
        <w:rPr>
          <w:rFonts w:ascii="Arial" w:hAnsi="Arial" w:cs="Arial"/>
          <w:sz w:val="16"/>
          <w:szCs w:val="16"/>
        </w:rPr>
        <w:t>eşkil eden anket ile firmalara 8</w:t>
      </w:r>
      <w:r w:rsidRPr="0022066D">
        <w:rPr>
          <w:rFonts w:ascii="Arial" w:hAnsi="Arial" w:cs="Arial"/>
          <w:sz w:val="16"/>
          <w:szCs w:val="16"/>
        </w:rPr>
        <w:t xml:space="preserve"> soru soruluyor. Her bir endeksin değeri 100’ün altında ya da üstünde olmasına bağlı olarak yorumlanıyor. 100’ün üzerinde olması durumunda önceki aya ait faaliyetin ya da gelecek döneme ilişkin beklentinin olumlu yönde geliştiği yorumu yapılıyor. Türkiye genelinde her ay hazır beton üreticileri ile gerçekleştirilen çalışmada 3 farklı endeks </w:t>
      </w:r>
      <w:r w:rsidR="00FD0111">
        <w:rPr>
          <w:rFonts w:ascii="Arial" w:hAnsi="Arial" w:cs="Arial"/>
          <w:sz w:val="16"/>
          <w:szCs w:val="16"/>
        </w:rPr>
        <w:t>oluşturuluyor.</w:t>
      </w:r>
      <w:r w:rsidRPr="0022066D">
        <w:rPr>
          <w:rFonts w:ascii="Arial" w:hAnsi="Arial" w:cs="Arial"/>
          <w:sz w:val="16"/>
          <w:szCs w:val="16"/>
        </w:rPr>
        <w:t xml:space="preserve"> Hazır Beton Faaliyet Endeksi ile hazır beton firmalarının geçmiş bir aylık faaliyetlerinin sonuçları, Hazır Beton Güven Endeksi ile hazır beton sektöründe faaliyet gösteren teşebbüslerin, ekonomi ve sektöre yönelik duydukları güven seviyesi, Hazır Beton Beklenti Endeksi ile hazır beton firmalarının önümüzdeki üç aylık dönemde faaliyetlerinin hangi seviyede olacağına ilişkin beklentiler hakkında bilgi ediniliyor. Hazır Beton Endeksi ile endekslerin tümünü içeren bileşik endeks elde ediliyor.</w:t>
      </w:r>
    </w:p>
    <w:p w14:paraId="51D23AF2" w14:textId="77777777" w:rsidR="00BC1E27" w:rsidRPr="0022066D" w:rsidRDefault="00BC1E27" w:rsidP="007800F7">
      <w:pPr>
        <w:jc w:val="both"/>
        <w:rPr>
          <w:rFonts w:ascii="Arial" w:hAnsi="Arial" w:cs="Arial"/>
          <w:b/>
          <w:bCs/>
          <w:sz w:val="16"/>
          <w:szCs w:val="16"/>
          <w:u w:val="single"/>
        </w:rPr>
      </w:pPr>
      <w:r w:rsidRPr="0022066D">
        <w:rPr>
          <w:rFonts w:ascii="Arial" w:hAnsi="Arial" w:cs="Arial"/>
          <w:b/>
          <w:bCs/>
          <w:sz w:val="16"/>
          <w:szCs w:val="16"/>
          <w:u w:val="single"/>
        </w:rPr>
        <w:t>Türkiye Hazır Beton Birliği hakkında</w:t>
      </w:r>
    </w:p>
    <w:p w14:paraId="092C318E" w14:textId="77777777" w:rsidR="00BC1E27" w:rsidRPr="0022066D" w:rsidRDefault="00BC1E27" w:rsidP="007800F7">
      <w:pPr>
        <w:jc w:val="both"/>
        <w:rPr>
          <w:rFonts w:ascii="Arial" w:hAnsi="Arial" w:cs="Arial"/>
          <w:b/>
          <w:bCs/>
          <w:color w:val="0070C0"/>
          <w:sz w:val="16"/>
          <w:szCs w:val="16"/>
        </w:rPr>
      </w:pPr>
      <w:r w:rsidRPr="0022066D">
        <w:rPr>
          <w:rFonts w:ascii="Arial" w:hAnsi="Arial" w:cs="Arial"/>
          <w:bCs/>
          <w:sz w:val="16"/>
          <w:szCs w:val="16"/>
        </w:rPr>
        <w:t>Türkiye Hazır Beton Birliği (THBB), 1988 yılından beri güvenli ve dayanıklı yapıların inşası amacıyla standartlara uygun beton üretilmesi, tekniğine uygun beton uygulamalarının yaygınlaşması ve ülkemizde kaliteli, dayanıklı, yüksek dayanım sınıflarında beton kullanılması için uğraş veren mesleki bir kuruluştur. THBB, Avrupa Hazır Beton Birliği (ERMCO) ve Beton Sürdürülebilirlik Konseyi (</w:t>
      </w:r>
      <w:proofErr w:type="spellStart"/>
      <w:r w:rsidR="00794514" w:rsidRPr="0022066D">
        <w:rPr>
          <w:rFonts w:ascii="Arial" w:hAnsi="Arial" w:cs="Arial"/>
          <w:bCs/>
          <w:sz w:val="16"/>
          <w:szCs w:val="16"/>
        </w:rPr>
        <w:t>The</w:t>
      </w:r>
      <w:proofErr w:type="spellEnd"/>
      <w:r w:rsidR="00794514" w:rsidRPr="0022066D">
        <w:rPr>
          <w:rFonts w:ascii="Arial" w:hAnsi="Arial" w:cs="Arial"/>
          <w:bCs/>
          <w:sz w:val="16"/>
          <w:szCs w:val="16"/>
        </w:rPr>
        <w:t xml:space="preserve"> </w:t>
      </w:r>
      <w:proofErr w:type="spellStart"/>
      <w:r w:rsidRPr="0022066D">
        <w:rPr>
          <w:rFonts w:ascii="Arial" w:hAnsi="Arial" w:cs="Arial"/>
          <w:bCs/>
          <w:sz w:val="16"/>
          <w:szCs w:val="16"/>
        </w:rPr>
        <w:t>Concrete</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Sustainability</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Council</w:t>
      </w:r>
      <w:proofErr w:type="spellEnd"/>
      <w:r w:rsidRPr="0022066D">
        <w:rPr>
          <w:rFonts w:ascii="Arial" w:hAnsi="Arial" w:cs="Arial"/>
          <w:bCs/>
          <w:sz w:val="16"/>
          <w:szCs w:val="16"/>
        </w:rPr>
        <w:t xml:space="preserve">) üyesi; Beton Sürdürülebilirlik Konseyi “Bölgesel Sistem </w:t>
      </w:r>
      <w:proofErr w:type="spellStart"/>
      <w:r w:rsidRPr="0022066D">
        <w:rPr>
          <w:rFonts w:ascii="Arial" w:hAnsi="Arial" w:cs="Arial"/>
          <w:bCs/>
          <w:sz w:val="16"/>
          <w:szCs w:val="16"/>
        </w:rPr>
        <w:t>Operatörü”dür</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THBB’ye</w:t>
      </w:r>
      <w:proofErr w:type="spellEnd"/>
      <w:r w:rsidRPr="0022066D">
        <w:rPr>
          <w:rFonts w:ascii="Arial" w:hAnsi="Arial" w:cs="Arial"/>
          <w:bCs/>
          <w:sz w:val="16"/>
          <w:szCs w:val="16"/>
        </w:rPr>
        <w:t xml:space="preserve"> üye olacak şirketlerin bütün hazır beton tesislerinde standartlara uygun üretim yapması, THBB Kalite Güvence Sisteminin (KGS) sürekli habersiz denetimlerine tabi olarak KGS Uygunluk Belgesi alması, uygun laboratuvar bulundurması, teknik, çevre, iş sağlığı ve güvenliği, yasal ve etik kriterleri eksiksiz yerine getirmesi zorunludur.</w:t>
      </w:r>
    </w:p>
    <w:p w14:paraId="7F75CDAE" w14:textId="77777777" w:rsidR="00BC1E27" w:rsidRDefault="003F3184" w:rsidP="007800F7">
      <w:pPr>
        <w:pStyle w:val="AralkYok1"/>
        <w:spacing w:line="276" w:lineRule="auto"/>
        <w:contextualSpacing/>
        <w:rPr>
          <w:rStyle w:val="Kpr"/>
          <w:rFonts w:ascii="Arial" w:eastAsia="Times New Roman" w:hAnsi="Arial" w:cs="Arial"/>
          <w:b/>
          <w:bCs/>
          <w:sz w:val="16"/>
          <w:szCs w:val="16"/>
        </w:rPr>
      </w:pPr>
      <w:hyperlink r:id="rId11" w:history="1">
        <w:r w:rsidR="00BC1E27" w:rsidRPr="0022066D">
          <w:rPr>
            <w:rStyle w:val="Kpr"/>
            <w:rFonts w:ascii="Arial" w:eastAsia="Times New Roman" w:hAnsi="Arial" w:cs="Arial"/>
            <w:b/>
            <w:bCs/>
            <w:sz w:val="16"/>
            <w:szCs w:val="16"/>
          </w:rPr>
          <w:t>Basın bültenlerimizi indirmek için buray</w:t>
        </w:r>
        <w:r w:rsidR="003B533E">
          <w:rPr>
            <w:rStyle w:val="Kpr"/>
            <w:rFonts w:ascii="Arial" w:eastAsia="Times New Roman" w:hAnsi="Arial" w:cs="Arial"/>
            <w:b/>
            <w:bCs/>
            <w:sz w:val="16"/>
            <w:szCs w:val="16"/>
          </w:rPr>
          <w:t>ı</w:t>
        </w:r>
        <w:r w:rsidR="00BC1E27" w:rsidRPr="0022066D">
          <w:rPr>
            <w:rStyle w:val="Kpr"/>
            <w:rFonts w:ascii="Arial" w:eastAsia="Times New Roman" w:hAnsi="Arial" w:cs="Arial"/>
            <w:b/>
            <w:bCs/>
            <w:sz w:val="16"/>
            <w:szCs w:val="16"/>
          </w:rPr>
          <w:t xml:space="preserve"> tıklayınız…</w:t>
        </w:r>
      </w:hyperlink>
    </w:p>
    <w:p w14:paraId="656075C8" w14:textId="77777777" w:rsidR="00CF73F9" w:rsidRPr="0022066D" w:rsidRDefault="00CF73F9" w:rsidP="007800F7">
      <w:pPr>
        <w:pStyle w:val="AralkYok1"/>
        <w:spacing w:line="276" w:lineRule="auto"/>
        <w:contextualSpacing/>
        <w:rPr>
          <w:rFonts w:ascii="Arial" w:eastAsia="Times New Roman" w:hAnsi="Arial" w:cs="Arial"/>
          <w:b/>
          <w:bCs/>
          <w:sz w:val="16"/>
          <w:szCs w:val="16"/>
        </w:rPr>
      </w:pPr>
    </w:p>
    <w:p w14:paraId="40937750" w14:textId="77777777" w:rsidR="00BC1E27" w:rsidRDefault="00BC1E27" w:rsidP="007800F7">
      <w:pPr>
        <w:pStyle w:val="AralkYok1"/>
        <w:spacing w:line="276" w:lineRule="auto"/>
        <w:contextualSpacing/>
        <w:rPr>
          <w:rFonts w:ascii="Arial" w:hAnsi="Arial" w:cs="Arial"/>
          <w:sz w:val="16"/>
          <w:szCs w:val="16"/>
        </w:rPr>
      </w:pPr>
      <w:r w:rsidRPr="0022066D">
        <w:rPr>
          <w:rFonts w:ascii="Arial" w:hAnsi="Arial" w:cs="Arial"/>
          <w:b/>
          <w:sz w:val="16"/>
          <w:szCs w:val="16"/>
          <w:u w:val="single"/>
        </w:rPr>
        <w:t>Bilgi için:</w:t>
      </w:r>
      <w:r w:rsidR="00CF73F9">
        <w:rPr>
          <w:rFonts w:ascii="Arial" w:hAnsi="Arial" w:cs="Arial"/>
          <w:b/>
          <w:sz w:val="16"/>
          <w:szCs w:val="16"/>
        </w:rPr>
        <w:t xml:space="preserve"> </w:t>
      </w:r>
      <w:r w:rsidRPr="0022066D">
        <w:rPr>
          <w:rFonts w:ascii="Arial" w:hAnsi="Arial" w:cs="Arial"/>
          <w:b/>
          <w:sz w:val="16"/>
          <w:szCs w:val="16"/>
        </w:rPr>
        <w:t>Türkiye Hazır Beton Birliği Kurumsal İletişim</w:t>
      </w:r>
      <w:r w:rsidR="008A75E9">
        <w:rPr>
          <w:rFonts w:ascii="Arial" w:hAnsi="Arial" w:cs="Arial"/>
          <w:b/>
          <w:sz w:val="16"/>
          <w:szCs w:val="16"/>
        </w:rPr>
        <w:t xml:space="preserve"> </w:t>
      </w:r>
      <w:r w:rsidRPr="0022066D">
        <w:rPr>
          <w:rFonts w:ascii="Arial" w:hAnsi="Arial" w:cs="Arial"/>
          <w:b/>
          <w:sz w:val="16"/>
          <w:szCs w:val="16"/>
        </w:rPr>
        <w:br/>
      </w:r>
      <w:r w:rsidRPr="0022066D">
        <w:rPr>
          <w:rFonts w:ascii="Arial" w:hAnsi="Arial" w:cs="Arial"/>
          <w:sz w:val="16"/>
          <w:szCs w:val="16"/>
        </w:rPr>
        <w:t xml:space="preserve">Hakan Zengin / 0216 322 96 70 / </w:t>
      </w:r>
      <w:hyperlink r:id="rId12" w:history="1">
        <w:r w:rsidR="00BA5F21" w:rsidRPr="000631FD">
          <w:rPr>
            <w:rStyle w:val="Kpr"/>
            <w:rFonts w:ascii="Arial" w:hAnsi="Arial" w:cs="Arial"/>
            <w:sz w:val="16"/>
            <w:szCs w:val="16"/>
          </w:rPr>
          <w:t>hakan.zengin@thbb.org</w:t>
        </w:r>
      </w:hyperlink>
    </w:p>
    <w:p w14:paraId="745502FD" w14:textId="77777777" w:rsidR="00BA5F21" w:rsidRDefault="00BA5F21" w:rsidP="007800F7">
      <w:pPr>
        <w:pStyle w:val="AralkYok1"/>
        <w:spacing w:line="276" w:lineRule="auto"/>
        <w:contextualSpacing/>
        <w:rPr>
          <w:rFonts w:ascii="Arial" w:hAnsi="Arial" w:cs="Arial"/>
          <w:sz w:val="16"/>
          <w:szCs w:val="16"/>
        </w:rPr>
      </w:pPr>
      <w:r>
        <w:rPr>
          <w:rFonts w:ascii="Arial" w:hAnsi="Arial" w:cs="Arial"/>
          <w:sz w:val="16"/>
          <w:szCs w:val="16"/>
        </w:rPr>
        <w:t xml:space="preserve">Pınar Taşkın / 0216 322 96 70 / </w:t>
      </w:r>
      <w:hyperlink r:id="rId13" w:history="1">
        <w:r w:rsidRPr="000631FD">
          <w:rPr>
            <w:rStyle w:val="Kpr"/>
            <w:rFonts w:ascii="Arial" w:hAnsi="Arial" w:cs="Arial"/>
            <w:sz w:val="16"/>
            <w:szCs w:val="16"/>
          </w:rPr>
          <w:t>pinar.taskin@thbb.org</w:t>
        </w:r>
      </w:hyperlink>
    </w:p>
    <w:sectPr w:rsidR="00BA5F21" w:rsidSect="00681A07">
      <w:pgSz w:w="11906" w:h="16838"/>
      <w:pgMar w:top="568"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1E27"/>
    <w:rsid w:val="00002545"/>
    <w:rsid w:val="0000406C"/>
    <w:rsid w:val="00004DFE"/>
    <w:rsid w:val="000142B4"/>
    <w:rsid w:val="00015216"/>
    <w:rsid w:val="0002338F"/>
    <w:rsid w:val="000301FD"/>
    <w:rsid w:val="0003102D"/>
    <w:rsid w:val="000312FD"/>
    <w:rsid w:val="0004234C"/>
    <w:rsid w:val="00042A9E"/>
    <w:rsid w:val="000440F9"/>
    <w:rsid w:val="00044283"/>
    <w:rsid w:val="0005122F"/>
    <w:rsid w:val="00053DCD"/>
    <w:rsid w:val="00054AC3"/>
    <w:rsid w:val="0005544A"/>
    <w:rsid w:val="00057988"/>
    <w:rsid w:val="00070BE2"/>
    <w:rsid w:val="00075452"/>
    <w:rsid w:val="00076BD8"/>
    <w:rsid w:val="000775FE"/>
    <w:rsid w:val="000801FE"/>
    <w:rsid w:val="00080876"/>
    <w:rsid w:val="00080F34"/>
    <w:rsid w:val="00082EE0"/>
    <w:rsid w:val="00083A17"/>
    <w:rsid w:val="00083CE6"/>
    <w:rsid w:val="0008589F"/>
    <w:rsid w:val="000863F8"/>
    <w:rsid w:val="00086939"/>
    <w:rsid w:val="00090437"/>
    <w:rsid w:val="0009338F"/>
    <w:rsid w:val="000963BE"/>
    <w:rsid w:val="000A0755"/>
    <w:rsid w:val="000A07B4"/>
    <w:rsid w:val="000A144B"/>
    <w:rsid w:val="000A780C"/>
    <w:rsid w:val="000B2D15"/>
    <w:rsid w:val="000B4FCF"/>
    <w:rsid w:val="000B56FA"/>
    <w:rsid w:val="000B6063"/>
    <w:rsid w:val="000C0F35"/>
    <w:rsid w:val="000C3DD0"/>
    <w:rsid w:val="000C51C7"/>
    <w:rsid w:val="000C7E3E"/>
    <w:rsid w:val="000D11ED"/>
    <w:rsid w:val="000D25BF"/>
    <w:rsid w:val="000D4E1F"/>
    <w:rsid w:val="000D5280"/>
    <w:rsid w:val="000D769D"/>
    <w:rsid w:val="000D7872"/>
    <w:rsid w:val="000E4A8C"/>
    <w:rsid w:val="000E637A"/>
    <w:rsid w:val="000E6A4A"/>
    <w:rsid w:val="000E6F4B"/>
    <w:rsid w:val="000E71DB"/>
    <w:rsid w:val="000F5905"/>
    <w:rsid w:val="000F6ACF"/>
    <w:rsid w:val="00100CBB"/>
    <w:rsid w:val="00110ADB"/>
    <w:rsid w:val="00114095"/>
    <w:rsid w:val="00114134"/>
    <w:rsid w:val="00116448"/>
    <w:rsid w:val="00117E77"/>
    <w:rsid w:val="00121729"/>
    <w:rsid w:val="001242F3"/>
    <w:rsid w:val="00131534"/>
    <w:rsid w:val="00131D7F"/>
    <w:rsid w:val="0014421E"/>
    <w:rsid w:val="0015058D"/>
    <w:rsid w:val="00153530"/>
    <w:rsid w:val="00153E04"/>
    <w:rsid w:val="001548D4"/>
    <w:rsid w:val="00162F0D"/>
    <w:rsid w:val="001638CC"/>
    <w:rsid w:val="00163FFE"/>
    <w:rsid w:val="001651BC"/>
    <w:rsid w:val="00175B49"/>
    <w:rsid w:val="00176BC6"/>
    <w:rsid w:val="00177525"/>
    <w:rsid w:val="001861D1"/>
    <w:rsid w:val="00186641"/>
    <w:rsid w:val="00190AFE"/>
    <w:rsid w:val="00190E2E"/>
    <w:rsid w:val="00191263"/>
    <w:rsid w:val="00192B83"/>
    <w:rsid w:val="001930C0"/>
    <w:rsid w:val="001A0D5E"/>
    <w:rsid w:val="001A151A"/>
    <w:rsid w:val="001A2F57"/>
    <w:rsid w:val="001A5295"/>
    <w:rsid w:val="001A56E6"/>
    <w:rsid w:val="001B0B03"/>
    <w:rsid w:val="001B5AC3"/>
    <w:rsid w:val="001C11F1"/>
    <w:rsid w:val="001C1582"/>
    <w:rsid w:val="001C5AD9"/>
    <w:rsid w:val="001D674D"/>
    <w:rsid w:val="001D7E85"/>
    <w:rsid w:val="001E2CF2"/>
    <w:rsid w:val="001E791C"/>
    <w:rsid w:val="001F4AF7"/>
    <w:rsid w:val="0020112D"/>
    <w:rsid w:val="0020408B"/>
    <w:rsid w:val="002047FA"/>
    <w:rsid w:val="00207093"/>
    <w:rsid w:val="00213CE1"/>
    <w:rsid w:val="00214A45"/>
    <w:rsid w:val="00214A4A"/>
    <w:rsid w:val="002162AB"/>
    <w:rsid w:val="0022066D"/>
    <w:rsid w:val="002310C4"/>
    <w:rsid w:val="0023254D"/>
    <w:rsid w:val="00233859"/>
    <w:rsid w:val="00235570"/>
    <w:rsid w:val="0024164C"/>
    <w:rsid w:val="00244673"/>
    <w:rsid w:val="002453D6"/>
    <w:rsid w:val="00245574"/>
    <w:rsid w:val="00245647"/>
    <w:rsid w:val="00246505"/>
    <w:rsid w:val="0025005F"/>
    <w:rsid w:val="002502EA"/>
    <w:rsid w:val="00251B51"/>
    <w:rsid w:val="00252E16"/>
    <w:rsid w:val="00253712"/>
    <w:rsid w:val="00255773"/>
    <w:rsid w:val="00261256"/>
    <w:rsid w:val="002646B6"/>
    <w:rsid w:val="00271D67"/>
    <w:rsid w:val="002736BE"/>
    <w:rsid w:val="0027466D"/>
    <w:rsid w:val="002751EF"/>
    <w:rsid w:val="00280E29"/>
    <w:rsid w:val="00281B65"/>
    <w:rsid w:val="00282596"/>
    <w:rsid w:val="002A0E28"/>
    <w:rsid w:val="002A265F"/>
    <w:rsid w:val="002B023F"/>
    <w:rsid w:val="002B240D"/>
    <w:rsid w:val="002C0439"/>
    <w:rsid w:val="002C5A3D"/>
    <w:rsid w:val="002D412A"/>
    <w:rsid w:val="002D458A"/>
    <w:rsid w:val="002D7D36"/>
    <w:rsid w:val="002D7EAE"/>
    <w:rsid w:val="002E1193"/>
    <w:rsid w:val="002E123B"/>
    <w:rsid w:val="002E3CC0"/>
    <w:rsid w:val="002E597C"/>
    <w:rsid w:val="002E7E04"/>
    <w:rsid w:val="002F1F59"/>
    <w:rsid w:val="002F2B80"/>
    <w:rsid w:val="002F2E74"/>
    <w:rsid w:val="002F307B"/>
    <w:rsid w:val="002F3C2D"/>
    <w:rsid w:val="00300D53"/>
    <w:rsid w:val="0030154E"/>
    <w:rsid w:val="00304EAD"/>
    <w:rsid w:val="00310050"/>
    <w:rsid w:val="00312624"/>
    <w:rsid w:val="00315375"/>
    <w:rsid w:val="00315515"/>
    <w:rsid w:val="00315B4C"/>
    <w:rsid w:val="00317A23"/>
    <w:rsid w:val="00317B1F"/>
    <w:rsid w:val="003268C2"/>
    <w:rsid w:val="00327BAB"/>
    <w:rsid w:val="00331697"/>
    <w:rsid w:val="0033235C"/>
    <w:rsid w:val="00333535"/>
    <w:rsid w:val="003362A3"/>
    <w:rsid w:val="003434A6"/>
    <w:rsid w:val="003450C2"/>
    <w:rsid w:val="003459BE"/>
    <w:rsid w:val="00345D09"/>
    <w:rsid w:val="00347372"/>
    <w:rsid w:val="003503B1"/>
    <w:rsid w:val="00350C45"/>
    <w:rsid w:val="0035243F"/>
    <w:rsid w:val="00355AC9"/>
    <w:rsid w:val="003600E1"/>
    <w:rsid w:val="003606EE"/>
    <w:rsid w:val="00360B3A"/>
    <w:rsid w:val="00361644"/>
    <w:rsid w:val="00362340"/>
    <w:rsid w:val="003676B2"/>
    <w:rsid w:val="00371347"/>
    <w:rsid w:val="00384D4B"/>
    <w:rsid w:val="00386898"/>
    <w:rsid w:val="00390074"/>
    <w:rsid w:val="00392ED1"/>
    <w:rsid w:val="003945DE"/>
    <w:rsid w:val="0039507D"/>
    <w:rsid w:val="003A018C"/>
    <w:rsid w:val="003A0EC3"/>
    <w:rsid w:val="003A1ACC"/>
    <w:rsid w:val="003A1E54"/>
    <w:rsid w:val="003A3FFD"/>
    <w:rsid w:val="003A550F"/>
    <w:rsid w:val="003B1825"/>
    <w:rsid w:val="003B434E"/>
    <w:rsid w:val="003B533E"/>
    <w:rsid w:val="003B7340"/>
    <w:rsid w:val="003C116F"/>
    <w:rsid w:val="003C1F38"/>
    <w:rsid w:val="003C56F9"/>
    <w:rsid w:val="003C6A9A"/>
    <w:rsid w:val="003C6E21"/>
    <w:rsid w:val="003D351E"/>
    <w:rsid w:val="003D4D7D"/>
    <w:rsid w:val="003E0590"/>
    <w:rsid w:val="003E2CDC"/>
    <w:rsid w:val="003E342B"/>
    <w:rsid w:val="003E3968"/>
    <w:rsid w:val="003F3184"/>
    <w:rsid w:val="003F7653"/>
    <w:rsid w:val="003F7D9F"/>
    <w:rsid w:val="0040023A"/>
    <w:rsid w:val="00400CA4"/>
    <w:rsid w:val="004017EF"/>
    <w:rsid w:val="00402AAE"/>
    <w:rsid w:val="00404152"/>
    <w:rsid w:val="004059A7"/>
    <w:rsid w:val="0040797A"/>
    <w:rsid w:val="00413A5F"/>
    <w:rsid w:val="004204EA"/>
    <w:rsid w:val="00420F15"/>
    <w:rsid w:val="00424308"/>
    <w:rsid w:val="004309A2"/>
    <w:rsid w:val="00434346"/>
    <w:rsid w:val="00437303"/>
    <w:rsid w:val="00437F3A"/>
    <w:rsid w:val="00437FA9"/>
    <w:rsid w:val="00440DCF"/>
    <w:rsid w:val="004424C1"/>
    <w:rsid w:val="00442AD2"/>
    <w:rsid w:val="00444011"/>
    <w:rsid w:val="004462BC"/>
    <w:rsid w:val="00447336"/>
    <w:rsid w:val="004506B8"/>
    <w:rsid w:val="004631AC"/>
    <w:rsid w:val="00464DD3"/>
    <w:rsid w:val="00470D17"/>
    <w:rsid w:val="00477307"/>
    <w:rsid w:val="0048134B"/>
    <w:rsid w:val="00483D34"/>
    <w:rsid w:val="004845AE"/>
    <w:rsid w:val="004851E7"/>
    <w:rsid w:val="00486B4A"/>
    <w:rsid w:val="004904A0"/>
    <w:rsid w:val="004930F0"/>
    <w:rsid w:val="004A212C"/>
    <w:rsid w:val="004A24DB"/>
    <w:rsid w:val="004A52C9"/>
    <w:rsid w:val="004A719C"/>
    <w:rsid w:val="004C04DA"/>
    <w:rsid w:val="004C4614"/>
    <w:rsid w:val="004C7332"/>
    <w:rsid w:val="004C7A6D"/>
    <w:rsid w:val="004D2856"/>
    <w:rsid w:val="004D399A"/>
    <w:rsid w:val="004D3B44"/>
    <w:rsid w:val="004D46A7"/>
    <w:rsid w:val="004E016C"/>
    <w:rsid w:val="004E0C19"/>
    <w:rsid w:val="004E62C3"/>
    <w:rsid w:val="004E6464"/>
    <w:rsid w:val="004F0C96"/>
    <w:rsid w:val="004F17CF"/>
    <w:rsid w:val="004F4487"/>
    <w:rsid w:val="004F725A"/>
    <w:rsid w:val="00501041"/>
    <w:rsid w:val="0050213B"/>
    <w:rsid w:val="0050530B"/>
    <w:rsid w:val="00511D0F"/>
    <w:rsid w:val="00512390"/>
    <w:rsid w:val="00513CB6"/>
    <w:rsid w:val="00513F38"/>
    <w:rsid w:val="00516DDD"/>
    <w:rsid w:val="0051739E"/>
    <w:rsid w:val="00522236"/>
    <w:rsid w:val="00523F8C"/>
    <w:rsid w:val="0052423B"/>
    <w:rsid w:val="00525278"/>
    <w:rsid w:val="00525ACF"/>
    <w:rsid w:val="0053004B"/>
    <w:rsid w:val="0053108B"/>
    <w:rsid w:val="00531B78"/>
    <w:rsid w:val="00535AFE"/>
    <w:rsid w:val="00536810"/>
    <w:rsid w:val="00536E26"/>
    <w:rsid w:val="00540DB1"/>
    <w:rsid w:val="00541D5D"/>
    <w:rsid w:val="00542F63"/>
    <w:rsid w:val="0054514E"/>
    <w:rsid w:val="00545B4C"/>
    <w:rsid w:val="00553B34"/>
    <w:rsid w:val="005606C4"/>
    <w:rsid w:val="0056118B"/>
    <w:rsid w:val="00561B83"/>
    <w:rsid w:val="0056337F"/>
    <w:rsid w:val="00565A5C"/>
    <w:rsid w:val="00566F71"/>
    <w:rsid w:val="00571A67"/>
    <w:rsid w:val="00577E26"/>
    <w:rsid w:val="005810D2"/>
    <w:rsid w:val="00584A8C"/>
    <w:rsid w:val="00584F7E"/>
    <w:rsid w:val="00585A9F"/>
    <w:rsid w:val="00585C02"/>
    <w:rsid w:val="00585E6A"/>
    <w:rsid w:val="00587C17"/>
    <w:rsid w:val="00596405"/>
    <w:rsid w:val="00596C98"/>
    <w:rsid w:val="00596EE5"/>
    <w:rsid w:val="00597510"/>
    <w:rsid w:val="005A03FE"/>
    <w:rsid w:val="005A1CFB"/>
    <w:rsid w:val="005A30F7"/>
    <w:rsid w:val="005A5609"/>
    <w:rsid w:val="005B419C"/>
    <w:rsid w:val="005B47D9"/>
    <w:rsid w:val="005B5FE7"/>
    <w:rsid w:val="005B76F4"/>
    <w:rsid w:val="005D044D"/>
    <w:rsid w:val="005D064C"/>
    <w:rsid w:val="005D44E7"/>
    <w:rsid w:val="005D51BF"/>
    <w:rsid w:val="005D5DEA"/>
    <w:rsid w:val="005E017F"/>
    <w:rsid w:val="005E2647"/>
    <w:rsid w:val="005E425D"/>
    <w:rsid w:val="005F051F"/>
    <w:rsid w:val="005F12C0"/>
    <w:rsid w:val="005F1B57"/>
    <w:rsid w:val="005F41A4"/>
    <w:rsid w:val="005F6F7D"/>
    <w:rsid w:val="005F707A"/>
    <w:rsid w:val="005F7597"/>
    <w:rsid w:val="0060100B"/>
    <w:rsid w:val="00602672"/>
    <w:rsid w:val="00602D35"/>
    <w:rsid w:val="006037D9"/>
    <w:rsid w:val="00610917"/>
    <w:rsid w:val="0061329F"/>
    <w:rsid w:val="0061563C"/>
    <w:rsid w:val="0061585C"/>
    <w:rsid w:val="00621552"/>
    <w:rsid w:val="00622D7F"/>
    <w:rsid w:val="00624C49"/>
    <w:rsid w:val="00624FEB"/>
    <w:rsid w:val="00632937"/>
    <w:rsid w:val="00633D02"/>
    <w:rsid w:val="00634980"/>
    <w:rsid w:val="00635442"/>
    <w:rsid w:val="0063714D"/>
    <w:rsid w:val="00641EC7"/>
    <w:rsid w:val="0064468B"/>
    <w:rsid w:val="006510B5"/>
    <w:rsid w:val="0065295F"/>
    <w:rsid w:val="00654EF9"/>
    <w:rsid w:val="00656943"/>
    <w:rsid w:val="00660768"/>
    <w:rsid w:val="006621B4"/>
    <w:rsid w:val="00666859"/>
    <w:rsid w:val="006672AC"/>
    <w:rsid w:val="00671ED7"/>
    <w:rsid w:val="0067347D"/>
    <w:rsid w:val="006744B5"/>
    <w:rsid w:val="006778F2"/>
    <w:rsid w:val="00681A07"/>
    <w:rsid w:val="00682127"/>
    <w:rsid w:val="006863A7"/>
    <w:rsid w:val="00686A2E"/>
    <w:rsid w:val="0069071E"/>
    <w:rsid w:val="0069372B"/>
    <w:rsid w:val="0069421A"/>
    <w:rsid w:val="00694DFE"/>
    <w:rsid w:val="00696135"/>
    <w:rsid w:val="00697249"/>
    <w:rsid w:val="006972F1"/>
    <w:rsid w:val="00697D7E"/>
    <w:rsid w:val="006A3A77"/>
    <w:rsid w:val="006A7E7B"/>
    <w:rsid w:val="006B2EC7"/>
    <w:rsid w:val="006B39FC"/>
    <w:rsid w:val="006B3D7D"/>
    <w:rsid w:val="006B5644"/>
    <w:rsid w:val="006C08B6"/>
    <w:rsid w:val="006C5F4C"/>
    <w:rsid w:val="006C6DAD"/>
    <w:rsid w:val="006C7D47"/>
    <w:rsid w:val="006D011C"/>
    <w:rsid w:val="006D266E"/>
    <w:rsid w:val="006D3079"/>
    <w:rsid w:val="006D30F8"/>
    <w:rsid w:val="006D71C3"/>
    <w:rsid w:val="006E2349"/>
    <w:rsid w:val="006E2803"/>
    <w:rsid w:val="006E3C18"/>
    <w:rsid w:val="006E418E"/>
    <w:rsid w:val="006E5CBE"/>
    <w:rsid w:val="006F4FA5"/>
    <w:rsid w:val="006F66AC"/>
    <w:rsid w:val="0070086F"/>
    <w:rsid w:val="00701836"/>
    <w:rsid w:val="007024AD"/>
    <w:rsid w:val="00703877"/>
    <w:rsid w:val="007046A4"/>
    <w:rsid w:val="007048B6"/>
    <w:rsid w:val="00704C08"/>
    <w:rsid w:val="00711A06"/>
    <w:rsid w:val="007129C6"/>
    <w:rsid w:val="007138DD"/>
    <w:rsid w:val="007145FF"/>
    <w:rsid w:val="0071547D"/>
    <w:rsid w:val="00722049"/>
    <w:rsid w:val="0072397C"/>
    <w:rsid w:val="00724B8A"/>
    <w:rsid w:val="00727AAD"/>
    <w:rsid w:val="00730300"/>
    <w:rsid w:val="0073744F"/>
    <w:rsid w:val="00740C09"/>
    <w:rsid w:val="00741AC8"/>
    <w:rsid w:val="00743D94"/>
    <w:rsid w:val="00743DD1"/>
    <w:rsid w:val="00744C20"/>
    <w:rsid w:val="0075174E"/>
    <w:rsid w:val="00752188"/>
    <w:rsid w:val="00752A95"/>
    <w:rsid w:val="00756BB7"/>
    <w:rsid w:val="00757794"/>
    <w:rsid w:val="0076086E"/>
    <w:rsid w:val="007630DF"/>
    <w:rsid w:val="0076399E"/>
    <w:rsid w:val="0076552F"/>
    <w:rsid w:val="007715D0"/>
    <w:rsid w:val="007800F7"/>
    <w:rsid w:val="00780978"/>
    <w:rsid w:val="00780CD4"/>
    <w:rsid w:val="007822E6"/>
    <w:rsid w:val="00784F1D"/>
    <w:rsid w:val="00786FCF"/>
    <w:rsid w:val="00792125"/>
    <w:rsid w:val="00794514"/>
    <w:rsid w:val="00795AF6"/>
    <w:rsid w:val="007A5646"/>
    <w:rsid w:val="007A6B72"/>
    <w:rsid w:val="007A6B9E"/>
    <w:rsid w:val="007B4D8D"/>
    <w:rsid w:val="007B6E36"/>
    <w:rsid w:val="007C3ABB"/>
    <w:rsid w:val="007C5724"/>
    <w:rsid w:val="007C60D3"/>
    <w:rsid w:val="007C7D70"/>
    <w:rsid w:val="007D1101"/>
    <w:rsid w:val="007D14FE"/>
    <w:rsid w:val="007D3869"/>
    <w:rsid w:val="007D57FC"/>
    <w:rsid w:val="007D5C9D"/>
    <w:rsid w:val="007D6058"/>
    <w:rsid w:val="007F0F7D"/>
    <w:rsid w:val="007F19FD"/>
    <w:rsid w:val="007F4780"/>
    <w:rsid w:val="007F64DC"/>
    <w:rsid w:val="00807204"/>
    <w:rsid w:val="00813119"/>
    <w:rsid w:val="00815FEB"/>
    <w:rsid w:val="00821637"/>
    <w:rsid w:val="00822144"/>
    <w:rsid w:val="008226CF"/>
    <w:rsid w:val="008252C9"/>
    <w:rsid w:val="008254A0"/>
    <w:rsid w:val="00830794"/>
    <w:rsid w:val="00830ED9"/>
    <w:rsid w:val="00831417"/>
    <w:rsid w:val="00832A66"/>
    <w:rsid w:val="00833125"/>
    <w:rsid w:val="00835B5D"/>
    <w:rsid w:val="00835FE6"/>
    <w:rsid w:val="0083601F"/>
    <w:rsid w:val="008419DE"/>
    <w:rsid w:val="008434C4"/>
    <w:rsid w:val="0084529D"/>
    <w:rsid w:val="0085008B"/>
    <w:rsid w:val="00850FDB"/>
    <w:rsid w:val="00854AA7"/>
    <w:rsid w:val="0085702C"/>
    <w:rsid w:val="008615FB"/>
    <w:rsid w:val="00862725"/>
    <w:rsid w:val="0086473D"/>
    <w:rsid w:val="00864BFC"/>
    <w:rsid w:val="00866067"/>
    <w:rsid w:val="0086724A"/>
    <w:rsid w:val="00867693"/>
    <w:rsid w:val="00867D73"/>
    <w:rsid w:val="008735E4"/>
    <w:rsid w:val="00874DEA"/>
    <w:rsid w:val="00875DBF"/>
    <w:rsid w:val="00882ED8"/>
    <w:rsid w:val="00885B92"/>
    <w:rsid w:val="00885C54"/>
    <w:rsid w:val="00887BC4"/>
    <w:rsid w:val="00891C83"/>
    <w:rsid w:val="008944B2"/>
    <w:rsid w:val="00894598"/>
    <w:rsid w:val="00895BB1"/>
    <w:rsid w:val="008A00FC"/>
    <w:rsid w:val="008A0DC0"/>
    <w:rsid w:val="008A151C"/>
    <w:rsid w:val="008A4176"/>
    <w:rsid w:val="008A7538"/>
    <w:rsid w:val="008A75E9"/>
    <w:rsid w:val="008B0C8B"/>
    <w:rsid w:val="008B54AB"/>
    <w:rsid w:val="008B580B"/>
    <w:rsid w:val="008B79AC"/>
    <w:rsid w:val="008C1918"/>
    <w:rsid w:val="008C49C8"/>
    <w:rsid w:val="008D1E80"/>
    <w:rsid w:val="008D2534"/>
    <w:rsid w:val="008D403C"/>
    <w:rsid w:val="008D5FA9"/>
    <w:rsid w:val="008D659B"/>
    <w:rsid w:val="008E2225"/>
    <w:rsid w:val="008E36DA"/>
    <w:rsid w:val="008E4C81"/>
    <w:rsid w:val="008F0B73"/>
    <w:rsid w:val="008F19A5"/>
    <w:rsid w:val="008F7540"/>
    <w:rsid w:val="009015F5"/>
    <w:rsid w:val="00906086"/>
    <w:rsid w:val="009108C0"/>
    <w:rsid w:val="0091742F"/>
    <w:rsid w:val="00920D6A"/>
    <w:rsid w:val="009317B7"/>
    <w:rsid w:val="00934664"/>
    <w:rsid w:val="00937E6A"/>
    <w:rsid w:val="0094076D"/>
    <w:rsid w:val="009448A3"/>
    <w:rsid w:val="00951364"/>
    <w:rsid w:val="00953BD4"/>
    <w:rsid w:val="00954A28"/>
    <w:rsid w:val="00955ACB"/>
    <w:rsid w:val="00957780"/>
    <w:rsid w:val="00962A0C"/>
    <w:rsid w:val="00965EC8"/>
    <w:rsid w:val="00966992"/>
    <w:rsid w:val="00971188"/>
    <w:rsid w:val="00972EDD"/>
    <w:rsid w:val="009732BE"/>
    <w:rsid w:val="00973AA8"/>
    <w:rsid w:val="00973BF5"/>
    <w:rsid w:val="00977A48"/>
    <w:rsid w:val="00980E23"/>
    <w:rsid w:val="0098575F"/>
    <w:rsid w:val="00985950"/>
    <w:rsid w:val="00987E20"/>
    <w:rsid w:val="009917C0"/>
    <w:rsid w:val="00996234"/>
    <w:rsid w:val="009A0722"/>
    <w:rsid w:val="009A3BD1"/>
    <w:rsid w:val="009A5C6C"/>
    <w:rsid w:val="009A6F73"/>
    <w:rsid w:val="009B0405"/>
    <w:rsid w:val="009B098B"/>
    <w:rsid w:val="009B2FD8"/>
    <w:rsid w:val="009B323A"/>
    <w:rsid w:val="009C0497"/>
    <w:rsid w:val="009C310E"/>
    <w:rsid w:val="009C483D"/>
    <w:rsid w:val="009C4E5A"/>
    <w:rsid w:val="009C7F13"/>
    <w:rsid w:val="009D5149"/>
    <w:rsid w:val="009D757C"/>
    <w:rsid w:val="009E282E"/>
    <w:rsid w:val="009E2B65"/>
    <w:rsid w:val="009E3DAE"/>
    <w:rsid w:val="009E716E"/>
    <w:rsid w:val="009E723D"/>
    <w:rsid w:val="009E7FEE"/>
    <w:rsid w:val="009F1215"/>
    <w:rsid w:val="009F281E"/>
    <w:rsid w:val="009F4080"/>
    <w:rsid w:val="009F6830"/>
    <w:rsid w:val="009F7D5A"/>
    <w:rsid w:val="00A004B2"/>
    <w:rsid w:val="00A00890"/>
    <w:rsid w:val="00A0398D"/>
    <w:rsid w:val="00A049FF"/>
    <w:rsid w:val="00A0567E"/>
    <w:rsid w:val="00A06EB7"/>
    <w:rsid w:val="00A108EA"/>
    <w:rsid w:val="00A10BAC"/>
    <w:rsid w:val="00A12575"/>
    <w:rsid w:val="00A22047"/>
    <w:rsid w:val="00A2535B"/>
    <w:rsid w:val="00A26014"/>
    <w:rsid w:val="00A27078"/>
    <w:rsid w:val="00A30DEF"/>
    <w:rsid w:val="00A31229"/>
    <w:rsid w:val="00A314A2"/>
    <w:rsid w:val="00A3449D"/>
    <w:rsid w:val="00A35A40"/>
    <w:rsid w:val="00A44086"/>
    <w:rsid w:val="00A443AC"/>
    <w:rsid w:val="00A448FA"/>
    <w:rsid w:val="00A4709D"/>
    <w:rsid w:val="00A554AB"/>
    <w:rsid w:val="00A55D10"/>
    <w:rsid w:val="00A563AF"/>
    <w:rsid w:val="00A5787D"/>
    <w:rsid w:val="00A73F23"/>
    <w:rsid w:val="00A74BFA"/>
    <w:rsid w:val="00A753AB"/>
    <w:rsid w:val="00A763F7"/>
    <w:rsid w:val="00A77FC1"/>
    <w:rsid w:val="00A822DA"/>
    <w:rsid w:val="00A827A0"/>
    <w:rsid w:val="00A8591D"/>
    <w:rsid w:val="00A95C9D"/>
    <w:rsid w:val="00AB352F"/>
    <w:rsid w:val="00AB3D6E"/>
    <w:rsid w:val="00AB4AAC"/>
    <w:rsid w:val="00AB7B7E"/>
    <w:rsid w:val="00AC0AE3"/>
    <w:rsid w:val="00AC4C07"/>
    <w:rsid w:val="00AC6BEA"/>
    <w:rsid w:val="00AC785B"/>
    <w:rsid w:val="00AC7DE8"/>
    <w:rsid w:val="00AD05D0"/>
    <w:rsid w:val="00AD1601"/>
    <w:rsid w:val="00AE208B"/>
    <w:rsid w:val="00AF1916"/>
    <w:rsid w:val="00AF370C"/>
    <w:rsid w:val="00AF6056"/>
    <w:rsid w:val="00AF729A"/>
    <w:rsid w:val="00AF7DCA"/>
    <w:rsid w:val="00B00DF6"/>
    <w:rsid w:val="00B0136C"/>
    <w:rsid w:val="00B038EF"/>
    <w:rsid w:val="00B0446E"/>
    <w:rsid w:val="00B10BA4"/>
    <w:rsid w:val="00B1218B"/>
    <w:rsid w:val="00B13D0E"/>
    <w:rsid w:val="00B23334"/>
    <w:rsid w:val="00B23BEA"/>
    <w:rsid w:val="00B3512D"/>
    <w:rsid w:val="00B409E3"/>
    <w:rsid w:val="00B4150E"/>
    <w:rsid w:val="00B43A6F"/>
    <w:rsid w:val="00B4684F"/>
    <w:rsid w:val="00B47C1A"/>
    <w:rsid w:val="00B5416E"/>
    <w:rsid w:val="00B57758"/>
    <w:rsid w:val="00B577B4"/>
    <w:rsid w:val="00B6433A"/>
    <w:rsid w:val="00B64AD9"/>
    <w:rsid w:val="00B66ED1"/>
    <w:rsid w:val="00B7341F"/>
    <w:rsid w:val="00B816B2"/>
    <w:rsid w:val="00B87784"/>
    <w:rsid w:val="00B9372F"/>
    <w:rsid w:val="00B93A1C"/>
    <w:rsid w:val="00B967B8"/>
    <w:rsid w:val="00B96BC0"/>
    <w:rsid w:val="00B978DE"/>
    <w:rsid w:val="00BA14F0"/>
    <w:rsid w:val="00BA155E"/>
    <w:rsid w:val="00BA15E3"/>
    <w:rsid w:val="00BA1ACC"/>
    <w:rsid w:val="00BA2550"/>
    <w:rsid w:val="00BA5F21"/>
    <w:rsid w:val="00BA7967"/>
    <w:rsid w:val="00BB1183"/>
    <w:rsid w:val="00BB36CF"/>
    <w:rsid w:val="00BB42F8"/>
    <w:rsid w:val="00BB7D02"/>
    <w:rsid w:val="00BC1E27"/>
    <w:rsid w:val="00BC301A"/>
    <w:rsid w:val="00BC3ECE"/>
    <w:rsid w:val="00BC5C9D"/>
    <w:rsid w:val="00BC773B"/>
    <w:rsid w:val="00BC7B3A"/>
    <w:rsid w:val="00BC7DA0"/>
    <w:rsid w:val="00BD01CF"/>
    <w:rsid w:val="00BD0205"/>
    <w:rsid w:val="00BD2AF6"/>
    <w:rsid w:val="00BD6870"/>
    <w:rsid w:val="00BD7405"/>
    <w:rsid w:val="00BE058B"/>
    <w:rsid w:val="00BE0EFA"/>
    <w:rsid w:val="00BE174F"/>
    <w:rsid w:val="00BE5D67"/>
    <w:rsid w:val="00BF2BDC"/>
    <w:rsid w:val="00BF4047"/>
    <w:rsid w:val="00BF5091"/>
    <w:rsid w:val="00BF6CE6"/>
    <w:rsid w:val="00C0241F"/>
    <w:rsid w:val="00C06C31"/>
    <w:rsid w:val="00C10367"/>
    <w:rsid w:val="00C10BB4"/>
    <w:rsid w:val="00C11B7F"/>
    <w:rsid w:val="00C124DB"/>
    <w:rsid w:val="00C13EA4"/>
    <w:rsid w:val="00C17496"/>
    <w:rsid w:val="00C238CA"/>
    <w:rsid w:val="00C274B4"/>
    <w:rsid w:val="00C3071A"/>
    <w:rsid w:val="00C36ED1"/>
    <w:rsid w:val="00C409D7"/>
    <w:rsid w:val="00C417B3"/>
    <w:rsid w:val="00C50BFB"/>
    <w:rsid w:val="00C516A8"/>
    <w:rsid w:val="00C51EA7"/>
    <w:rsid w:val="00C55A04"/>
    <w:rsid w:val="00C565BC"/>
    <w:rsid w:val="00C61482"/>
    <w:rsid w:val="00C6188A"/>
    <w:rsid w:val="00C64628"/>
    <w:rsid w:val="00C66A32"/>
    <w:rsid w:val="00C75BD0"/>
    <w:rsid w:val="00C75F6B"/>
    <w:rsid w:val="00C8262C"/>
    <w:rsid w:val="00C92556"/>
    <w:rsid w:val="00C96AD4"/>
    <w:rsid w:val="00CA2199"/>
    <w:rsid w:val="00CA3B36"/>
    <w:rsid w:val="00CA679E"/>
    <w:rsid w:val="00CB28BE"/>
    <w:rsid w:val="00CB3550"/>
    <w:rsid w:val="00CB408B"/>
    <w:rsid w:val="00CB480C"/>
    <w:rsid w:val="00CB4A1E"/>
    <w:rsid w:val="00CC180D"/>
    <w:rsid w:val="00CC1B13"/>
    <w:rsid w:val="00CC2E2D"/>
    <w:rsid w:val="00CC5A59"/>
    <w:rsid w:val="00CD10D7"/>
    <w:rsid w:val="00CD2ACE"/>
    <w:rsid w:val="00CD524A"/>
    <w:rsid w:val="00CE5093"/>
    <w:rsid w:val="00CE68F8"/>
    <w:rsid w:val="00CE72AF"/>
    <w:rsid w:val="00CE7986"/>
    <w:rsid w:val="00CF4712"/>
    <w:rsid w:val="00CF4925"/>
    <w:rsid w:val="00CF6903"/>
    <w:rsid w:val="00CF73F9"/>
    <w:rsid w:val="00D00141"/>
    <w:rsid w:val="00D0124D"/>
    <w:rsid w:val="00D0274B"/>
    <w:rsid w:val="00D03B25"/>
    <w:rsid w:val="00D101EE"/>
    <w:rsid w:val="00D12BFA"/>
    <w:rsid w:val="00D12CDE"/>
    <w:rsid w:val="00D16A43"/>
    <w:rsid w:val="00D1721B"/>
    <w:rsid w:val="00D176CF"/>
    <w:rsid w:val="00D20F22"/>
    <w:rsid w:val="00D215B9"/>
    <w:rsid w:val="00D2194E"/>
    <w:rsid w:val="00D22C06"/>
    <w:rsid w:val="00D23461"/>
    <w:rsid w:val="00D23A1A"/>
    <w:rsid w:val="00D23BBB"/>
    <w:rsid w:val="00D2400E"/>
    <w:rsid w:val="00D245A8"/>
    <w:rsid w:val="00D27F79"/>
    <w:rsid w:val="00D300C7"/>
    <w:rsid w:val="00D30CEC"/>
    <w:rsid w:val="00D30D13"/>
    <w:rsid w:val="00D31E16"/>
    <w:rsid w:val="00D33571"/>
    <w:rsid w:val="00D356E3"/>
    <w:rsid w:val="00D37093"/>
    <w:rsid w:val="00D37FC3"/>
    <w:rsid w:val="00D40CFF"/>
    <w:rsid w:val="00D4198C"/>
    <w:rsid w:val="00D465ED"/>
    <w:rsid w:val="00D51E96"/>
    <w:rsid w:val="00D52672"/>
    <w:rsid w:val="00D53859"/>
    <w:rsid w:val="00D54C35"/>
    <w:rsid w:val="00D60FDC"/>
    <w:rsid w:val="00D61097"/>
    <w:rsid w:val="00D630F9"/>
    <w:rsid w:val="00D64E76"/>
    <w:rsid w:val="00D7006D"/>
    <w:rsid w:val="00D81E74"/>
    <w:rsid w:val="00D82D45"/>
    <w:rsid w:val="00D82E93"/>
    <w:rsid w:val="00D83A5A"/>
    <w:rsid w:val="00D853B6"/>
    <w:rsid w:val="00D90C8C"/>
    <w:rsid w:val="00D91673"/>
    <w:rsid w:val="00D9259A"/>
    <w:rsid w:val="00D97C8E"/>
    <w:rsid w:val="00DA5A03"/>
    <w:rsid w:val="00DA6FE6"/>
    <w:rsid w:val="00DA707B"/>
    <w:rsid w:val="00DB00EB"/>
    <w:rsid w:val="00DC04B9"/>
    <w:rsid w:val="00DC2128"/>
    <w:rsid w:val="00DC3208"/>
    <w:rsid w:val="00DC4072"/>
    <w:rsid w:val="00DD2139"/>
    <w:rsid w:val="00DE029D"/>
    <w:rsid w:val="00DE212A"/>
    <w:rsid w:val="00DE55DF"/>
    <w:rsid w:val="00DF6FDA"/>
    <w:rsid w:val="00E00B13"/>
    <w:rsid w:val="00E01427"/>
    <w:rsid w:val="00E045CE"/>
    <w:rsid w:val="00E138BA"/>
    <w:rsid w:val="00E170C9"/>
    <w:rsid w:val="00E17704"/>
    <w:rsid w:val="00E17AC0"/>
    <w:rsid w:val="00E20947"/>
    <w:rsid w:val="00E218FD"/>
    <w:rsid w:val="00E259AB"/>
    <w:rsid w:val="00E26B64"/>
    <w:rsid w:val="00E30EA2"/>
    <w:rsid w:val="00E34294"/>
    <w:rsid w:val="00E34755"/>
    <w:rsid w:val="00E35459"/>
    <w:rsid w:val="00E37424"/>
    <w:rsid w:val="00E37EC8"/>
    <w:rsid w:val="00E40EC8"/>
    <w:rsid w:val="00E4581E"/>
    <w:rsid w:val="00E46346"/>
    <w:rsid w:val="00E46816"/>
    <w:rsid w:val="00E471B1"/>
    <w:rsid w:val="00E52E42"/>
    <w:rsid w:val="00E57C0C"/>
    <w:rsid w:val="00E60FF7"/>
    <w:rsid w:val="00E66DAA"/>
    <w:rsid w:val="00E75CB4"/>
    <w:rsid w:val="00E77B78"/>
    <w:rsid w:val="00E80D9C"/>
    <w:rsid w:val="00E81793"/>
    <w:rsid w:val="00E82D68"/>
    <w:rsid w:val="00E844E3"/>
    <w:rsid w:val="00E86151"/>
    <w:rsid w:val="00E873D4"/>
    <w:rsid w:val="00E876E1"/>
    <w:rsid w:val="00E9022B"/>
    <w:rsid w:val="00E928A0"/>
    <w:rsid w:val="00E93217"/>
    <w:rsid w:val="00E95B89"/>
    <w:rsid w:val="00E9798D"/>
    <w:rsid w:val="00EA1DAC"/>
    <w:rsid w:val="00EA22F2"/>
    <w:rsid w:val="00EA6C6A"/>
    <w:rsid w:val="00EB01A9"/>
    <w:rsid w:val="00EB2622"/>
    <w:rsid w:val="00EB4085"/>
    <w:rsid w:val="00EB6C02"/>
    <w:rsid w:val="00EC2EF1"/>
    <w:rsid w:val="00EC3DDD"/>
    <w:rsid w:val="00EC45F0"/>
    <w:rsid w:val="00EC4B55"/>
    <w:rsid w:val="00EC598F"/>
    <w:rsid w:val="00ED0A74"/>
    <w:rsid w:val="00ED100C"/>
    <w:rsid w:val="00ED622F"/>
    <w:rsid w:val="00ED7EA8"/>
    <w:rsid w:val="00EE1D26"/>
    <w:rsid w:val="00EF0963"/>
    <w:rsid w:val="00EF2340"/>
    <w:rsid w:val="00EF29C2"/>
    <w:rsid w:val="00EF585A"/>
    <w:rsid w:val="00F011EE"/>
    <w:rsid w:val="00F02E2A"/>
    <w:rsid w:val="00F10C33"/>
    <w:rsid w:val="00F10E65"/>
    <w:rsid w:val="00F1456F"/>
    <w:rsid w:val="00F22BB6"/>
    <w:rsid w:val="00F33027"/>
    <w:rsid w:val="00F3413C"/>
    <w:rsid w:val="00F401AC"/>
    <w:rsid w:val="00F4177A"/>
    <w:rsid w:val="00F42FB6"/>
    <w:rsid w:val="00F44973"/>
    <w:rsid w:val="00F45C38"/>
    <w:rsid w:val="00F52A03"/>
    <w:rsid w:val="00F52CD6"/>
    <w:rsid w:val="00F57788"/>
    <w:rsid w:val="00F63713"/>
    <w:rsid w:val="00F6468F"/>
    <w:rsid w:val="00F65D44"/>
    <w:rsid w:val="00F672D4"/>
    <w:rsid w:val="00F7359A"/>
    <w:rsid w:val="00F76564"/>
    <w:rsid w:val="00F778CE"/>
    <w:rsid w:val="00F82EC3"/>
    <w:rsid w:val="00F90C4A"/>
    <w:rsid w:val="00F94AD1"/>
    <w:rsid w:val="00F97BAE"/>
    <w:rsid w:val="00FA0572"/>
    <w:rsid w:val="00FA67B6"/>
    <w:rsid w:val="00FA6C7A"/>
    <w:rsid w:val="00FB0C03"/>
    <w:rsid w:val="00FB3127"/>
    <w:rsid w:val="00FB4C82"/>
    <w:rsid w:val="00FB638F"/>
    <w:rsid w:val="00FB7FAE"/>
    <w:rsid w:val="00FC066D"/>
    <w:rsid w:val="00FC0E5B"/>
    <w:rsid w:val="00FC3C7A"/>
    <w:rsid w:val="00FD0111"/>
    <w:rsid w:val="00FD0923"/>
    <w:rsid w:val="00FD470A"/>
    <w:rsid w:val="00FE0BE9"/>
    <w:rsid w:val="00FE3A9E"/>
    <w:rsid w:val="00FE6DCF"/>
    <w:rsid w:val="00FF22A2"/>
    <w:rsid w:val="00FF36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A7A95"/>
  <w15:docId w15:val="{0075C334-37D0-47FA-BB5D-349853E01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DCF"/>
    <w:rPr>
      <w:rFonts w:ascii="Calibri" w:eastAsia="Times New Roman" w:hAnsi="Calibri" w:cs="Times New Roman"/>
      <w:lang w:eastAsia="tr-TR"/>
    </w:rPr>
  </w:style>
  <w:style w:type="paragraph" w:styleId="Balk1">
    <w:name w:val="heading 1"/>
    <w:basedOn w:val="Normal"/>
    <w:next w:val="Normal"/>
    <w:link w:val="Balk1Char"/>
    <w:uiPriority w:val="9"/>
    <w:qFormat/>
    <w:rsid w:val="00BC1E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BC1E27"/>
    <w:rPr>
      <w:color w:val="0000FF"/>
      <w:u w:val="single"/>
    </w:rPr>
  </w:style>
  <w:style w:type="paragraph" w:customStyle="1" w:styleId="AralkYok1">
    <w:name w:val="Aralık Yok1"/>
    <w:uiPriority w:val="1"/>
    <w:qFormat/>
    <w:rsid w:val="00BC1E27"/>
    <w:pPr>
      <w:spacing w:line="240" w:lineRule="auto"/>
    </w:pPr>
    <w:rPr>
      <w:rFonts w:ascii="Calibri" w:eastAsia="Calibri" w:hAnsi="Calibri" w:cs="Times New Roman"/>
      <w:lang w:eastAsia="tr-TR"/>
    </w:rPr>
  </w:style>
  <w:style w:type="paragraph" w:styleId="BalonMetni">
    <w:name w:val="Balloon Text"/>
    <w:basedOn w:val="Normal"/>
    <w:link w:val="BalonMetniChar"/>
    <w:uiPriority w:val="99"/>
    <w:semiHidden/>
    <w:unhideWhenUsed/>
    <w:rsid w:val="00BC1E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1E27"/>
    <w:rPr>
      <w:rFonts w:ascii="Tahoma" w:eastAsia="Times New Roman" w:hAnsi="Tahoma" w:cs="Tahoma"/>
      <w:sz w:val="16"/>
      <w:szCs w:val="16"/>
      <w:lang w:eastAsia="tr-TR"/>
    </w:rPr>
  </w:style>
  <w:style w:type="character" w:customStyle="1" w:styleId="Balk1Char">
    <w:name w:val="Başlık 1 Char"/>
    <w:basedOn w:val="VarsaylanParagrafYazTipi"/>
    <w:link w:val="Balk1"/>
    <w:uiPriority w:val="9"/>
    <w:rsid w:val="00BC1E27"/>
    <w:rPr>
      <w:rFonts w:asciiTheme="majorHAnsi" w:eastAsiaTheme="majorEastAsia" w:hAnsiTheme="majorHAnsi" w:cstheme="majorBidi"/>
      <w:b/>
      <w:bCs/>
      <w:color w:val="365F91" w:themeColor="accent1" w:themeShade="BF"/>
      <w:sz w:val="28"/>
      <w:szCs w:val="28"/>
      <w:lang w:eastAsia="tr-TR"/>
    </w:rPr>
  </w:style>
  <w:style w:type="paragraph" w:styleId="AralkYok">
    <w:name w:val="No Spacing"/>
    <w:uiPriority w:val="1"/>
    <w:qFormat/>
    <w:rsid w:val="00AB352F"/>
    <w:pPr>
      <w:spacing w:after="0" w:line="240" w:lineRule="auto"/>
    </w:pPr>
    <w:rPr>
      <w:rFonts w:ascii="Calibri" w:eastAsia="Times New Roman" w:hAnsi="Calibri" w:cs="Times New Roman"/>
      <w:lang w:eastAsia="tr-TR"/>
    </w:rPr>
  </w:style>
  <w:style w:type="paragraph" w:styleId="Dzeltme">
    <w:name w:val="Revision"/>
    <w:hidden/>
    <w:uiPriority w:val="99"/>
    <w:semiHidden/>
    <w:rsid w:val="00D7006D"/>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91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inar.taskin@thbb.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akan.zengin@thbb.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hbb.org/basin-odasi/"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customXml" Target="../customXml/item4.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D:\belgeler\2026%20&#351;ubat.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belgeler\2026%20&#351;uba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324949165227101"/>
          <c:y val="9.0594347777068499E-2"/>
          <c:w val="0.85787234156959302"/>
          <c:h val="0.71898240361448496"/>
        </c:manualLayout>
      </c:layout>
      <c:lineChart>
        <c:grouping val="standard"/>
        <c:varyColors val="0"/>
        <c:ser>
          <c:idx val="0"/>
          <c:order val="0"/>
          <c:tx>
            <c:strRef>
              <c:f>'endeks sonuçları'!$A$2</c:f>
              <c:strCache>
                <c:ptCount val="1"/>
                <c:pt idx="0">
                  <c:v>Faaliyet Endeksi</c:v>
                </c:pt>
              </c:strCache>
            </c:strRef>
          </c:tx>
          <c:spPr>
            <a:ln w="25400" cap="rnd">
              <a:solidFill>
                <a:schemeClr val="accent1"/>
              </a:solidFill>
              <a:round/>
            </a:ln>
            <a:effectLst/>
          </c:spPr>
          <c:marker>
            <c:symbol val="none"/>
          </c:marker>
          <c:dLbls>
            <c:delete val="1"/>
          </c:dLbls>
          <c:cat>
            <c:strRef>
              <c:f>'endeks sonuçları'!$DA$1:$DM$1</c:f>
              <c:strCache>
                <c:ptCount val="13"/>
                <c:pt idx="0">
                  <c:v>Şubat</c:v>
                </c:pt>
                <c:pt idx="1">
                  <c:v>Mart</c:v>
                </c:pt>
                <c:pt idx="2">
                  <c:v>Nisan</c:v>
                </c:pt>
                <c:pt idx="3">
                  <c:v>Mayıs</c:v>
                </c:pt>
                <c:pt idx="4">
                  <c:v>Haziran</c:v>
                </c:pt>
                <c:pt idx="5">
                  <c:v>Temmuz</c:v>
                </c:pt>
                <c:pt idx="6">
                  <c:v>Ağustos</c:v>
                </c:pt>
                <c:pt idx="7">
                  <c:v>Eylül</c:v>
                </c:pt>
                <c:pt idx="8">
                  <c:v>Ekim</c:v>
                </c:pt>
                <c:pt idx="9">
                  <c:v>Kasım</c:v>
                </c:pt>
                <c:pt idx="10">
                  <c:v>Aralık</c:v>
                </c:pt>
                <c:pt idx="11">
                  <c:v>2026 Ocak</c:v>
                </c:pt>
                <c:pt idx="12">
                  <c:v>Şubat</c:v>
                </c:pt>
              </c:strCache>
            </c:strRef>
          </c:cat>
          <c:val>
            <c:numRef>
              <c:f>'endeks sonuçları'!$DA$2:$DM$2</c:f>
              <c:numCache>
                <c:formatCode>0.00</c:formatCode>
                <c:ptCount val="13"/>
                <c:pt idx="0">
                  <c:v>99</c:v>
                </c:pt>
                <c:pt idx="1">
                  <c:v>100.10000000000001</c:v>
                </c:pt>
                <c:pt idx="2">
                  <c:v>99.933333333333323</c:v>
                </c:pt>
                <c:pt idx="3">
                  <c:v>100.66666666666667</c:v>
                </c:pt>
                <c:pt idx="4">
                  <c:v>99.266666666666666</c:v>
                </c:pt>
                <c:pt idx="5">
                  <c:v>101.06666666666668</c:v>
                </c:pt>
                <c:pt idx="6">
                  <c:v>99.8</c:v>
                </c:pt>
                <c:pt idx="7">
                  <c:v>99.733333333333334</c:v>
                </c:pt>
                <c:pt idx="8">
                  <c:v>99.866666666666674</c:v>
                </c:pt>
                <c:pt idx="9">
                  <c:v>99.933333333333323</c:v>
                </c:pt>
                <c:pt idx="10">
                  <c:v>100.06666666666666</c:v>
                </c:pt>
                <c:pt idx="11">
                  <c:v>98.8</c:v>
                </c:pt>
                <c:pt idx="12">
                  <c:v>99.533333333333346</c:v>
                </c:pt>
              </c:numCache>
            </c:numRef>
          </c:val>
          <c:smooth val="0"/>
          <c:extLst>
            <c:ext xmlns:c16="http://schemas.microsoft.com/office/drawing/2014/chart" uri="{C3380CC4-5D6E-409C-BE32-E72D297353CC}">
              <c16:uniqueId val="{00000000-AE31-43D0-AE68-7B095EC052EF}"/>
            </c:ext>
          </c:extLst>
        </c:ser>
        <c:ser>
          <c:idx val="1"/>
          <c:order val="1"/>
          <c:tx>
            <c:strRef>
              <c:f>'endeks sonuçları'!$A$3</c:f>
              <c:strCache>
                <c:ptCount val="1"/>
                <c:pt idx="0">
                  <c:v>Güven Endeksi</c:v>
                </c:pt>
              </c:strCache>
            </c:strRef>
          </c:tx>
          <c:spPr>
            <a:ln w="25400" cap="rnd">
              <a:solidFill>
                <a:schemeClr val="accent2"/>
              </a:solidFill>
              <a:round/>
            </a:ln>
            <a:effectLst/>
          </c:spPr>
          <c:marker>
            <c:symbol val="none"/>
          </c:marker>
          <c:dLbls>
            <c:delete val="1"/>
          </c:dLbls>
          <c:cat>
            <c:strRef>
              <c:f>'endeks sonuçları'!$DA$1:$DM$1</c:f>
              <c:strCache>
                <c:ptCount val="13"/>
                <c:pt idx="0">
                  <c:v>Şubat</c:v>
                </c:pt>
                <c:pt idx="1">
                  <c:v>Mart</c:v>
                </c:pt>
                <c:pt idx="2">
                  <c:v>Nisan</c:v>
                </c:pt>
                <c:pt idx="3">
                  <c:v>Mayıs</c:v>
                </c:pt>
                <c:pt idx="4">
                  <c:v>Haziran</c:v>
                </c:pt>
                <c:pt idx="5">
                  <c:v>Temmuz</c:v>
                </c:pt>
                <c:pt idx="6">
                  <c:v>Ağustos</c:v>
                </c:pt>
                <c:pt idx="7">
                  <c:v>Eylül</c:v>
                </c:pt>
                <c:pt idx="8">
                  <c:v>Ekim</c:v>
                </c:pt>
                <c:pt idx="9">
                  <c:v>Kasım</c:v>
                </c:pt>
                <c:pt idx="10">
                  <c:v>Aralık</c:v>
                </c:pt>
                <c:pt idx="11">
                  <c:v>2026 Ocak</c:v>
                </c:pt>
                <c:pt idx="12">
                  <c:v>Şubat</c:v>
                </c:pt>
              </c:strCache>
            </c:strRef>
          </c:cat>
          <c:val>
            <c:numRef>
              <c:f>'endeks sonuçları'!$DA$3:$DM$3</c:f>
              <c:numCache>
                <c:formatCode>General</c:formatCode>
                <c:ptCount val="13"/>
                <c:pt idx="0">
                  <c:v>99.300000000000011</c:v>
                </c:pt>
                <c:pt idx="1">
                  <c:v>98.65</c:v>
                </c:pt>
                <c:pt idx="2">
                  <c:v>98.699999999999989</c:v>
                </c:pt>
                <c:pt idx="3">
                  <c:v>98.5</c:v>
                </c:pt>
                <c:pt idx="4">
                  <c:v>98.800000000000011</c:v>
                </c:pt>
                <c:pt idx="5">
                  <c:v>99.4</c:v>
                </c:pt>
                <c:pt idx="6">
                  <c:v>99.5</c:v>
                </c:pt>
                <c:pt idx="7">
                  <c:v>99.1</c:v>
                </c:pt>
                <c:pt idx="8">
                  <c:v>99.3</c:v>
                </c:pt>
                <c:pt idx="9">
                  <c:v>99.300000000000011</c:v>
                </c:pt>
                <c:pt idx="10">
                  <c:v>98.6</c:v>
                </c:pt>
                <c:pt idx="11">
                  <c:v>98.5</c:v>
                </c:pt>
                <c:pt idx="12">
                  <c:v>99.6</c:v>
                </c:pt>
              </c:numCache>
            </c:numRef>
          </c:val>
          <c:smooth val="0"/>
          <c:extLst>
            <c:ext xmlns:c16="http://schemas.microsoft.com/office/drawing/2014/chart" uri="{C3380CC4-5D6E-409C-BE32-E72D297353CC}">
              <c16:uniqueId val="{00000001-AE31-43D0-AE68-7B095EC052EF}"/>
            </c:ext>
          </c:extLst>
        </c:ser>
        <c:ser>
          <c:idx val="2"/>
          <c:order val="2"/>
          <c:tx>
            <c:strRef>
              <c:f>'endeks sonuçları'!$A$4</c:f>
              <c:strCache>
                <c:ptCount val="1"/>
                <c:pt idx="0">
                  <c:v>Beklenti Endeksi</c:v>
                </c:pt>
              </c:strCache>
            </c:strRef>
          </c:tx>
          <c:spPr>
            <a:ln w="25400" cap="rnd">
              <a:solidFill>
                <a:schemeClr val="accent3"/>
              </a:solidFill>
              <a:round/>
            </a:ln>
            <a:effectLst/>
          </c:spPr>
          <c:marker>
            <c:symbol val="none"/>
          </c:marker>
          <c:dLbls>
            <c:delete val="1"/>
          </c:dLbls>
          <c:cat>
            <c:strRef>
              <c:f>'endeks sonuçları'!$DA$1:$DM$1</c:f>
              <c:strCache>
                <c:ptCount val="13"/>
                <c:pt idx="0">
                  <c:v>Şubat</c:v>
                </c:pt>
                <c:pt idx="1">
                  <c:v>Mart</c:v>
                </c:pt>
                <c:pt idx="2">
                  <c:v>Nisan</c:v>
                </c:pt>
                <c:pt idx="3">
                  <c:v>Mayıs</c:v>
                </c:pt>
                <c:pt idx="4">
                  <c:v>Haziran</c:v>
                </c:pt>
                <c:pt idx="5">
                  <c:v>Temmuz</c:v>
                </c:pt>
                <c:pt idx="6">
                  <c:v>Ağustos</c:v>
                </c:pt>
                <c:pt idx="7">
                  <c:v>Eylül</c:v>
                </c:pt>
                <c:pt idx="8">
                  <c:v>Ekim</c:v>
                </c:pt>
                <c:pt idx="9">
                  <c:v>Kasım</c:v>
                </c:pt>
                <c:pt idx="10">
                  <c:v>Aralık</c:v>
                </c:pt>
                <c:pt idx="11">
                  <c:v>2026 Ocak</c:v>
                </c:pt>
                <c:pt idx="12">
                  <c:v>Şubat</c:v>
                </c:pt>
              </c:strCache>
            </c:strRef>
          </c:cat>
          <c:val>
            <c:numRef>
              <c:f>'endeks sonuçları'!$DA$4:$DM$4</c:f>
              <c:numCache>
                <c:formatCode>General</c:formatCode>
                <c:ptCount val="13"/>
                <c:pt idx="0">
                  <c:v>100</c:v>
                </c:pt>
                <c:pt idx="1">
                  <c:v>98.949999999999989</c:v>
                </c:pt>
                <c:pt idx="2">
                  <c:v>99.699999999999989</c:v>
                </c:pt>
                <c:pt idx="3">
                  <c:v>99.2</c:v>
                </c:pt>
                <c:pt idx="4">
                  <c:v>99.5</c:v>
                </c:pt>
                <c:pt idx="5">
                  <c:v>100.30000000000001</c:v>
                </c:pt>
                <c:pt idx="6">
                  <c:v>99.699999999999989</c:v>
                </c:pt>
                <c:pt idx="7">
                  <c:v>99.800000000000011</c:v>
                </c:pt>
                <c:pt idx="8">
                  <c:v>99.699999999999989</c:v>
                </c:pt>
                <c:pt idx="9">
                  <c:v>99.800000000000011</c:v>
                </c:pt>
                <c:pt idx="10">
                  <c:v>99.6</c:v>
                </c:pt>
                <c:pt idx="11">
                  <c:v>99.7</c:v>
                </c:pt>
                <c:pt idx="12">
                  <c:v>99.3</c:v>
                </c:pt>
              </c:numCache>
            </c:numRef>
          </c:val>
          <c:smooth val="0"/>
          <c:extLst>
            <c:ext xmlns:c16="http://schemas.microsoft.com/office/drawing/2014/chart" uri="{C3380CC4-5D6E-409C-BE32-E72D297353CC}">
              <c16:uniqueId val="{00000002-AE31-43D0-AE68-7B095EC052EF}"/>
            </c:ext>
          </c:extLst>
        </c:ser>
        <c:ser>
          <c:idx val="3"/>
          <c:order val="3"/>
          <c:tx>
            <c:strRef>
              <c:f>'endeks sonuçları'!$A$5</c:f>
              <c:strCache>
                <c:ptCount val="1"/>
                <c:pt idx="0">
                  <c:v>Hazır Beton Endeksi</c:v>
                </c:pt>
              </c:strCache>
            </c:strRef>
          </c:tx>
          <c:spPr>
            <a:ln w="63500" cap="rnd">
              <a:solidFill>
                <a:schemeClr val="accent4"/>
              </a:solidFill>
              <a:round/>
            </a:ln>
            <a:effectLst/>
          </c:spPr>
          <c:marker>
            <c:symbol val="none"/>
          </c:marker>
          <c:dLbls>
            <c:delete val="1"/>
          </c:dLbls>
          <c:cat>
            <c:strRef>
              <c:f>'endeks sonuçları'!$DA$1:$DM$1</c:f>
              <c:strCache>
                <c:ptCount val="13"/>
                <c:pt idx="0">
                  <c:v>Şubat</c:v>
                </c:pt>
                <c:pt idx="1">
                  <c:v>Mart</c:v>
                </c:pt>
                <c:pt idx="2">
                  <c:v>Nisan</c:v>
                </c:pt>
                <c:pt idx="3">
                  <c:v>Mayıs</c:v>
                </c:pt>
                <c:pt idx="4">
                  <c:v>Haziran</c:v>
                </c:pt>
                <c:pt idx="5">
                  <c:v>Temmuz</c:v>
                </c:pt>
                <c:pt idx="6">
                  <c:v>Ağustos</c:v>
                </c:pt>
                <c:pt idx="7">
                  <c:v>Eylül</c:v>
                </c:pt>
                <c:pt idx="8">
                  <c:v>Ekim</c:v>
                </c:pt>
                <c:pt idx="9">
                  <c:v>Kasım</c:v>
                </c:pt>
                <c:pt idx="10">
                  <c:v>Aralık</c:v>
                </c:pt>
                <c:pt idx="11">
                  <c:v>2026 Ocak</c:v>
                </c:pt>
                <c:pt idx="12">
                  <c:v>Şubat</c:v>
                </c:pt>
              </c:strCache>
            </c:strRef>
          </c:cat>
          <c:val>
            <c:numRef>
              <c:f>'endeks sonuçları'!$DA$5:$DM$5</c:f>
              <c:numCache>
                <c:formatCode>0.0</c:formatCode>
                <c:ptCount val="13"/>
                <c:pt idx="0">
                  <c:v>99.433333333333337</c:v>
                </c:pt>
                <c:pt idx="1">
                  <c:v>99.233333333333334</c:v>
                </c:pt>
                <c:pt idx="2">
                  <c:v>99.444444444444443</c:v>
                </c:pt>
                <c:pt idx="3">
                  <c:v>99.455555555555563</c:v>
                </c:pt>
                <c:pt idx="4">
                  <c:v>99.188888888888883</c:v>
                </c:pt>
                <c:pt idx="5">
                  <c:v>100.25555555555557</c:v>
                </c:pt>
                <c:pt idx="6">
                  <c:v>99.666666666666671</c:v>
                </c:pt>
                <c:pt idx="7">
                  <c:v>99.544444444444437</c:v>
                </c:pt>
                <c:pt idx="8">
                  <c:v>99.62222222222222</c:v>
                </c:pt>
                <c:pt idx="9">
                  <c:v>99.677777777777791</c:v>
                </c:pt>
                <c:pt idx="10">
                  <c:v>99.422222222222217</c:v>
                </c:pt>
                <c:pt idx="11">
                  <c:v>99</c:v>
                </c:pt>
                <c:pt idx="12">
                  <c:v>99.477777777777774</c:v>
                </c:pt>
              </c:numCache>
            </c:numRef>
          </c:val>
          <c:smooth val="0"/>
          <c:extLst>
            <c:ext xmlns:c16="http://schemas.microsoft.com/office/drawing/2014/chart" uri="{C3380CC4-5D6E-409C-BE32-E72D297353CC}">
              <c16:uniqueId val="{00000003-AE31-43D0-AE68-7B095EC052EF}"/>
            </c:ext>
          </c:extLst>
        </c:ser>
        <c:ser>
          <c:idx val="4"/>
          <c:order val="4"/>
          <c:tx>
            <c:strRef>
              <c:f>'endeks sonuçları'!$A$6</c:f>
              <c:strCache>
                <c:ptCount val="1"/>
              </c:strCache>
            </c:strRef>
          </c:tx>
          <c:spPr>
            <a:ln w="22225" cap="rnd">
              <a:solidFill>
                <a:schemeClr val="bg1">
                  <a:lumMod val="65000"/>
                </a:schemeClr>
              </a:solidFill>
              <a:prstDash val="sysDash"/>
              <a:round/>
            </a:ln>
            <a:effectLst/>
          </c:spPr>
          <c:marker>
            <c:symbol val="none"/>
          </c:marker>
          <c:dLbls>
            <c:delete val="1"/>
          </c:dLbls>
          <c:cat>
            <c:strRef>
              <c:f>'endeks sonuçları'!$DA$1:$DM$1</c:f>
              <c:strCache>
                <c:ptCount val="13"/>
                <c:pt idx="0">
                  <c:v>Şubat</c:v>
                </c:pt>
                <c:pt idx="1">
                  <c:v>Mart</c:v>
                </c:pt>
                <c:pt idx="2">
                  <c:v>Nisan</c:v>
                </c:pt>
                <c:pt idx="3">
                  <c:v>Mayıs</c:v>
                </c:pt>
                <c:pt idx="4">
                  <c:v>Haziran</c:v>
                </c:pt>
                <c:pt idx="5">
                  <c:v>Temmuz</c:v>
                </c:pt>
                <c:pt idx="6">
                  <c:v>Ağustos</c:v>
                </c:pt>
                <c:pt idx="7">
                  <c:v>Eylül</c:v>
                </c:pt>
                <c:pt idx="8">
                  <c:v>Ekim</c:v>
                </c:pt>
                <c:pt idx="9">
                  <c:v>Kasım</c:v>
                </c:pt>
                <c:pt idx="10">
                  <c:v>Aralık</c:v>
                </c:pt>
                <c:pt idx="11">
                  <c:v>2026 Ocak</c:v>
                </c:pt>
                <c:pt idx="12">
                  <c:v>Şubat</c:v>
                </c:pt>
              </c:strCache>
            </c:strRef>
          </c:cat>
          <c:val>
            <c:numRef>
              <c:f>'endeks sonuçları'!$DA$6:$DM$6</c:f>
              <c:numCache>
                <c:formatCode>0.00</c:formatCode>
                <c:ptCount val="13"/>
                <c:pt idx="0">
                  <c:v>100</c:v>
                </c:pt>
                <c:pt idx="1">
                  <c:v>100</c:v>
                </c:pt>
                <c:pt idx="2">
                  <c:v>100</c:v>
                </c:pt>
                <c:pt idx="3">
                  <c:v>100</c:v>
                </c:pt>
                <c:pt idx="4">
                  <c:v>100</c:v>
                </c:pt>
                <c:pt idx="5">
                  <c:v>100</c:v>
                </c:pt>
                <c:pt idx="6">
                  <c:v>100</c:v>
                </c:pt>
                <c:pt idx="7">
                  <c:v>100</c:v>
                </c:pt>
                <c:pt idx="8">
                  <c:v>100</c:v>
                </c:pt>
                <c:pt idx="9">
                  <c:v>100</c:v>
                </c:pt>
                <c:pt idx="10">
                  <c:v>100</c:v>
                </c:pt>
                <c:pt idx="11">
                  <c:v>100</c:v>
                </c:pt>
                <c:pt idx="12">
                  <c:v>100</c:v>
                </c:pt>
              </c:numCache>
            </c:numRef>
          </c:val>
          <c:smooth val="0"/>
          <c:extLst>
            <c:ext xmlns:c16="http://schemas.microsoft.com/office/drawing/2014/chart" uri="{C3380CC4-5D6E-409C-BE32-E72D297353CC}">
              <c16:uniqueId val="{00000004-AE31-43D0-AE68-7B095EC052EF}"/>
            </c:ext>
          </c:extLst>
        </c:ser>
        <c:dLbls>
          <c:showLegendKey val="0"/>
          <c:showVal val="1"/>
          <c:showCatName val="0"/>
          <c:showSerName val="0"/>
          <c:showPercent val="0"/>
          <c:showBubbleSize val="0"/>
        </c:dLbls>
        <c:smooth val="0"/>
        <c:axId val="148133888"/>
        <c:axId val="151861440"/>
      </c:lineChart>
      <c:catAx>
        <c:axId val="148133888"/>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5400000" spcFirstLastPara="1" vertOverflow="ellipsis" vert="horz" wrap="square" anchor="ctr" anchorCtr="1"/>
          <a:lstStyle/>
          <a:p>
            <a:pPr>
              <a:defRPr lang="tr-TR" sz="1000" b="0" i="0" u="none" strike="noStrike" kern="1200" baseline="0">
                <a:solidFill>
                  <a:schemeClr val="tx2"/>
                </a:solidFill>
                <a:latin typeface="+mn-lt"/>
                <a:ea typeface="+mn-ea"/>
                <a:cs typeface="+mn-cs"/>
              </a:defRPr>
            </a:pPr>
            <a:endParaRPr lang="tr-TR"/>
          </a:p>
        </c:txPr>
        <c:crossAx val="151861440"/>
        <c:crosses val="autoZero"/>
        <c:auto val="1"/>
        <c:lblAlgn val="ctr"/>
        <c:lblOffset val="100"/>
        <c:noMultiLvlLbl val="0"/>
      </c:catAx>
      <c:valAx>
        <c:axId val="151861440"/>
        <c:scaling>
          <c:orientation val="minMax"/>
          <c:max val="103"/>
          <c:min val="96.5"/>
        </c:scaling>
        <c:delete val="0"/>
        <c:axPos val="l"/>
        <c:majorGridlines>
          <c:spPr>
            <a:ln w="9525" cap="flat" cmpd="sng" algn="ctr">
              <a:solidFill>
                <a:schemeClr val="tx2">
                  <a:lumMod val="15000"/>
                  <a:lumOff val="85000"/>
                </a:schemeClr>
              </a:solidFill>
              <a:round/>
            </a:ln>
            <a:effectLst/>
          </c:spPr>
        </c:majorGridlines>
        <c:minorGridlines>
          <c:spPr>
            <a:ln>
              <a:noFill/>
            </a:ln>
            <a:effectLst/>
          </c:spPr>
        </c:minorGridlines>
        <c:numFmt formatCode="0.00" sourceLinked="1"/>
        <c:majorTickMark val="none"/>
        <c:minorTickMark val="none"/>
        <c:tickLblPos val="nextTo"/>
        <c:spPr>
          <a:noFill/>
          <a:ln>
            <a:solidFill>
              <a:schemeClr val="accent1"/>
            </a:solidFill>
          </a:ln>
          <a:effectLst/>
        </c:spPr>
        <c:txPr>
          <a:bodyPr rot="-60000000" spcFirstLastPara="1" vertOverflow="ellipsis" vert="horz" wrap="square" anchor="ctr" anchorCtr="1"/>
          <a:lstStyle/>
          <a:p>
            <a:pPr>
              <a:defRPr lang="tr-TR" sz="1400" b="0" i="0" u="none" strike="noStrike" kern="1200" baseline="0">
                <a:solidFill>
                  <a:schemeClr val="tx2"/>
                </a:solidFill>
                <a:latin typeface="+mn-lt"/>
                <a:ea typeface="+mn-ea"/>
                <a:cs typeface="+mn-cs"/>
              </a:defRPr>
            </a:pPr>
            <a:endParaRPr lang="tr-TR"/>
          </a:p>
        </c:txPr>
        <c:crossAx val="148133888"/>
        <c:crosses val="autoZero"/>
        <c:crossBetween val="between"/>
      </c:valAx>
      <c:spPr>
        <a:noFill/>
        <a:ln>
          <a:noFill/>
        </a:ln>
        <a:effectLst/>
      </c:spPr>
    </c:plotArea>
    <c:legend>
      <c:legendPos val="b"/>
      <c:legendEntry>
        <c:idx val="4"/>
        <c:delete val="1"/>
      </c:legendEntry>
      <c:layout>
        <c:manualLayout>
          <c:xMode val="edge"/>
          <c:yMode val="edge"/>
          <c:x val="0.25009848886331199"/>
          <c:y val="0.65497830359145304"/>
          <c:w val="0.59165168493230003"/>
          <c:h val="0.116542353479392"/>
        </c:manualLayout>
      </c:layout>
      <c:overlay val="0"/>
      <c:spPr>
        <a:noFill/>
        <a:ln>
          <a:noFill/>
        </a:ln>
        <a:effectLst/>
      </c:spPr>
      <c:txPr>
        <a:bodyPr rot="0" spcFirstLastPara="1" vertOverflow="ellipsis" vert="horz" wrap="square" anchor="ctr" anchorCtr="1"/>
        <a:lstStyle/>
        <a:p>
          <a:pPr>
            <a:defRPr lang="tr-TR" sz="1100" b="0" i="0" u="none" strike="noStrike" kern="1200" baseline="0">
              <a:solidFill>
                <a:schemeClr val="tx2"/>
              </a:solidFill>
              <a:latin typeface="+mn-lt"/>
              <a:ea typeface="+mn-ea"/>
              <a:cs typeface="+mn-cs"/>
            </a:defRPr>
          </a:pPr>
          <a:endParaRPr lang="tr-TR"/>
        </a:p>
      </c:txPr>
    </c:legend>
    <c:plotVisOnly val="1"/>
    <c:dispBlanksAs val="gap"/>
    <c:showDLblsOverMax val="0"/>
  </c:chart>
  <c:spPr>
    <a:solidFill>
      <a:schemeClr val="bg1">
        <a:lumMod val="95000"/>
      </a:schemeClr>
    </a:solidFill>
    <a:ln w="9525" cap="flat" cmpd="sng" algn="ctr">
      <a:solidFill>
        <a:schemeClr val="tx2">
          <a:lumMod val="15000"/>
          <a:lumOff val="85000"/>
        </a:schemeClr>
      </a:solidFill>
      <a:round/>
    </a:ln>
    <a:effectLst/>
  </c:spPr>
  <c:txPr>
    <a:bodyPr/>
    <a:lstStyle/>
    <a:p>
      <a:pPr>
        <a:defRPr/>
      </a:pPr>
      <a:endParaRPr lang="tr-T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0"/>
      <c:depthPercent val="100"/>
      <c:rAngAx val="1"/>
    </c:view3D>
    <c:floor>
      <c:thickness val="0"/>
    </c:floor>
    <c:sideWall>
      <c:thickness val="0"/>
    </c:sideWall>
    <c:backWall>
      <c:thickness val="0"/>
    </c:backWall>
    <c:plotArea>
      <c:layout/>
      <c:bar3DChart>
        <c:barDir val="bar"/>
        <c:grouping val="clustered"/>
        <c:varyColors val="0"/>
        <c:ser>
          <c:idx val="0"/>
          <c:order val="0"/>
          <c:invertIfNegative val="0"/>
          <c:dLbls>
            <c:dLbl>
              <c:idx val="0"/>
              <c:layout>
                <c:manualLayout>
                  <c:x val="0"/>
                  <c:y val="-3.24074074074078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0BA-469A-A689-E234085EE18C}"/>
                </c:ext>
              </c:extLst>
            </c:dLbl>
            <c:dLbl>
              <c:idx val="1"/>
              <c:layout>
                <c:manualLayout>
                  <c:x val="-1.1876159152876401E-3"/>
                  <c:y val="-4.16666666666666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0BA-469A-A689-E234085EE18C}"/>
                </c:ext>
              </c:extLst>
            </c:dLbl>
            <c:dLbl>
              <c:idx val="2"/>
              <c:layout>
                <c:manualLayout>
                  <c:x val="0"/>
                  <c:y val="-4.166666666666660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0BA-469A-A689-E234085EE18C}"/>
                </c:ext>
              </c:extLst>
            </c:dLbl>
            <c:dLbl>
              <c:idx val="3"/>
              <c:layout>
                <c:manualLayout>
                  <c:x val="9.3697859497864696E-4"/>
                  <c:y val="-1.948184055993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E0BA-469A-A689-E234085EE18C}"/>
                </c:ext>
              </c:extLst>
            </c:dLbl>
            <c:spPr>
              <a:noFill/>
              <a:ln>
                <a:noFill/>
              </a:ln>
              <a:effectLst/>
            </c:spPr>
            <c:txPr>
              <a:bodyPr/>
              <a:lstStyle/>
              <a:p>
                <a:pPr>
                  <a:defRPr lang="tr-TR"/>
                </a:pPr>
                <a:endParaRPr lang="tr-TR"/>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'endeks sonuçları'!$A$2:$A$5</c:f>
              <c:strCache>
                <c:ptCount val="4"/>
                <c:pt idx="0">
                  <c:v>Faaliyet Endeksi</c:v>
                </c:pt>
                <c:pt idx="1">
                  <c:v>Güven Endeksi</c:v>
                </c:pt>
                <c:pt idx="2">
                  <c:v>Beklenti Endeksi</c:v>
                </c:pt>
                <c:pt idx="3">
                  <c:v>Hazır Beton Endeksi</c:v>
                </c:pt>
              </c:strCache>
            </c:strRef>
          </c:cat>
          <c:val>
            <c:numRef>
              <c:f>'endeks sonuçları'!$DN$2:$DN$5</c:f>
              <c:numCache>
                <c:formatCode>0.0%</c:formatCode>
                <c:ptCount val="4"/>
                <c:pt idx="0">
                  <c:v>5.3872053872055115E-3</c:v>
                </c:pt>
                <c:pt idx="1">
                  <c:v>3.0211480362536043E-3</c:v>
                </c:pt>
                <c:pt idx="2">
                  <c:v>-7.0000000000000288E-3</c:v>
                </c:pt>
                <c:pt idx="3">
                  <c:v>4.4697731590114496E-4</c:v>
                </c:pt>
              </c:numCache>
            </c:numRef>
          </c:val>
          <c:extLst>
            <c:ext xmlns:c16="http://schemas.microsoft.com/office/drawing/2014/chart" uri="{C3380CC4-5D6E-409C-BE32-E72D297353CC}">
              <c16:uniqueId val="{00000004-E0BA-469A-A689-E234085EE18C}"/>
            </c:ext>
          </c:extLst>
        </c:ser>
        <c:dLbls>
          <c:showLegendKey val="0"/>
          <c:showVal val="0"/>
          <c:showCatName val="0"/>
          <c:showSerName val="0"/>
          <c:showPercent val="0"/>
          <c:showBubbleSize val="0"/>
        </c:dLbls>
        <c:gapWidth val="150"/>
        <c:shape val="box"/>
        <c:axId val="148627456"/>
        <c:axId val="155051136"/>
        <c:axId val="0"/>
      </c:bar3DChart>
      <c:catAx>
        <c:axId val="148627456"/>
        <c:scaling>
          <c:orientation val="minMax"/>
        </c:scaling>
        <c:delete val="0"/>
        <c:axPos val="l"/>
        <c:numFmt formatCode="General" sourceLinked="1"/>
        <c:majorTickMark val="out"/>
        <c:minorTickMark val="none"/>
        <c:tickLblPos val="high"/>
        <c:txPr>
          <a:bodyPr anchor="ctr" anchorCtr="0"/>
          <a:lstStyle/>
          <a:p>
            <a:pPr>
              <a:defRPr lang="tr-TR"/>
            </a:pPr>
            <a:endParaRPr lang="tr-TR"/>
          </a:p>
        </c:txPr>
        <c:crossAx val="155051136"/>
        <c:crosses val="autoZero"/>
        <c:auto val="1"/>
        <c:lblAlgn val="ctr"/>
        <c:lblOffset val="100"/>
        <c:noMultiLvlLbl val="0"/>
      </c:catAx>
      <c:valAx>
        <c:axId val="155051136"/>
        <c:scaling>
          <c:orientation val="minMax"/>
          <c:min val="-0.03"/>
        </c:scaling>
        <c:delete val="0"/>
        <c:axPos val="b"/>
        <c:numFmt formatCode="0.0%" sourceLinked="1"/>
        <c:majorTickMark val="out"/>
        <c:minorTickMark val="none"/>
        <c:tickLblPos val="nextTo"/>
        <c:txPr>
          <a:bodyPr/>
          <a:lstStyle/>
          <a:p>
            <a:pPr>
              <a:defRPr lang="tr-TR"/>
            </a:pPr>
            <a:endParaRPr lang="tr-TR"/>
          </a:p>
        </c:txPr>
        <c:crossAx val="148627456"/>
        <c:crosses val="autoZero"/>
        <c:crossBetween val="between"/>
      </c:valAx>
      <c:spPr>
        <a:noFill/>
        <a:ln w="25400">
          <a:noFill/>
        </a:ln>
      </c:spPr>
    </c:plotArea>
    <c:plotVisOnly val="1"/>
    <c:dispBlanksAs val="gap"/>
    <c:showDLblsOverMax val="0"/>
  </c:chart>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43B0F92889A4EA43A65D5B549F390F06" ma:contentTypeVersion="10" ma:contentTypeDescription="Yeni belge oluşturun." ma:contentTypeScope="" ma:versionID="da64e008499383d17120004e4e3277f8">
  <xsd:schema xmlns:xsd="http://www.w3.org/2001/XMLSchema" xmlns:xs="http://www.w3.org/2001/XMLSchema" xmlns:p="http://schemas.microsoft.com/office/2006/metadata/properties" xmlns:ns2="967e69af-786a-4c50-8741-aa3b80a10e62" targetNamespace="http://schemas.microsoft.com/office/2006/metadata/properties" ma:root="true" ma:fieldsID="e77444bb067183d900f3b681e0253878" ns2:_="">
    <xsd:import namespace="967e69af-786a-4c50-8741-aa3b80a10e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7e69af-786a-4c50-8741-aa3b80a10e6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848604-818E-41B6-B93A-463B800FC651}">
  <ds:schemaRefs>
    <ds:schemaRef ds:uri="http://schemas.openxmlformats.org/officeDocument/2006/bibliography"/>
  </ds:schemaRefs>
</ds:datastoreItem>
</file>

<file path=customXml/itemProps2.xml><?xml version="1.0" encoding="utf-8"?>
<ds:datastoreItem xmlns:ds="http://schemas.openxmlformats.org/officeDocument/2006/customXml" ds:itemID="{33FBACCA-8550-45A5-B425-923FC834F1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54FBFA-3336-4318-8F59-18257AFA1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7e69af-786a-4c50-8741-aa3b80a10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814A7-E8B6-40E8-95D9-395D89582D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1127</Words>
  <Characters>6428</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Hakan</dc:creator>
  <cp:lastModifiedBy>Lenovo</cp:lastModifiedBy>
  <cp:revision>6</cp:revision>
  <cp:lastPrinted>2026-03-16T12:52:00Z</cp:lastPrinted>
  <dcterms:created xsi:type="dcterms:W3CDTF">2026-03-16T11:41:00Z</dcterms:created>
  <dcterms:modified xsi:type="dcterms:W3CDTF">2026-03-17T06:31:00Z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0x01010043B0F92889A4EA43A65D5B549F390F06</vt:lpwstr>
  </property>
</Properties>
</file>