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EFE98" w14:textId="77777777" w:rsidR="00BC1E27" w:rsidRPr="0022066D" w:rsidRDefault="00BC1E27" w:rsidP="00BC1E27">
      <w:pPr>
        <w:jc w:val="center"/>
        <w:rPr>
          <w:rFonts w:ascii="Arial" w:hAnsi="Arial" w:cs="Arial"/>
          <w:sz w:val="24"/>
          <w:szCs w:val="24"/>
          <w:u w:val="single"/>
        </w:rPr>
      </w:pPr>
      <w:r w:rsidRPr="0022066D">
        <w:rPr>
          <w:rFonts w:ascii="Arial" w:hAnsi="Arial" w:cs="Arial"/>
          <w:noProof/>
        </w:rPr>
        <w:drawing>
          <wp:inline distT="0" distB="0" distL="0" distR="0" wp14:anchorId="026507FF" wp14:editId="78F06D9E">
            <wp:extent cx="848563" cy="848563"/>
            <wp:effectExtent l="0" t="0" r="8890" b="8890"/>
            <wp:docPr id="2" name="Resim 2" descr="http://www.thbb.org/media/152843/thbb-zeminsiz-web.jpg?width=140&amp;height=140"/>
            <wp:cNvGraphicFramePr/>
            <a:graphic xmlns:a="http://schemas.openxmlformats.org/drawingml/2006/main">
              <a:graphicData uri="http://schemas.openxmlformats.org/drawingml/2006/picture">
                <pic:pic xmlns:pic="http://schemas.openxmlformats.org/drawingml/2006/picture">
                  <pic:nvPicPr>
                    <pic:cNvPr id="2" name="Resim 2" descr="http://www.thbb.org/media/152843/thbb-zeminsiz-web.jpg?width=140&amp;height=140"/>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47675" cy="847675"/>
                    </a:xfrm>
                    <a:prstGeom prst="rect">
                      <a:avLst/>
                    </a:prstGeom>
                    <a:noFill/>
                    <a:ln>
                      <a:noFill/>
                    </a:ln>
                  </pic:spPr>
                </pic:pic>
              </a:graphicData>
            </a:graphic>
          </wp:inline>
        </w:drawing>
      </w:r>
    </w:p>
    <w:p w14:paraId="728A0F37" w14:textId="43C5FA71" w:rsidR="00BC1E27" w:rsidRPr="0022066D" w:rsidRDefault="00BC1E27" w:rsidP="00BC1E27">
      <w:pPr>
        <w:jc w:val="center"/>
        <w:rPr>
          <w:rFonts w:ascii="Arial" w:hAnsi="Arial" w:cs="Arial"/>
          <w:b/>
          <w:sz w:val="24"/>
          <w:szCs w:val="24"/>
          <w:u w:val="single"/>
        </w:rPr>
      </w:pPr>
      <w:r w:rsidRPr="0022066D">
        <w:rPr>
          <w:rFonts w:ascii="Arial" w:hAnsi="Arial" w:cs="Arial"/>
          <w:b/>
          <w:sz w:val="24"/>
          <w:szCs w:val="24"/>
          <w:u w:val="single"/>
        </w:rPr>
        <w:t>BASIN BÜLTENİ</w:t>
      </w:r>
      <w:r w:rsidRPr="0022066D">
        <w:rPr>
          <w:rFonts w:ascii="Arial" w:hAnsi="Arial" w:cs="Arial"/>
          <w:b/>
          <w:sz w:val="24"/>
          <w:szCs w:val="24"/>
          <w:u w:val="single"/>
        </w:rPr>
        <w:tab/>
      </w:r>
      <w:r w:rsidRPr="0022066D">
        <w:rPr>
          <w:rFonts w:ascii="Arial" w:hAnsi="Arial" w:cs="Arial"/>
          <w:b/>
          <w:sz w:val="24"/>
          <w:szCs w:val="24"/>
          <w:u w:val="single"/>
        </w:rPr>
        <w:tab/>
      </w:r>
      <w:r w:rsidRPr="0022066D">
        <w:rPr>
          <w:rFonts w:ascii="Arial" w:hAnsi="Arial" w:cs="Arial"/>
          <w:b/>
          <w:sz w:val="24"/>
          <w:szCs w:val="24"/>
          <w:u w:val="single"/>
        </w:rPr>
        <w:tab/>
      </w:r>
      <w:r w:rsidRPr="0022066D">
        <w:rPr>
          <w:rFonts w:ascii="Arial" w:hAnsi="Arial" w:cs="Arial"/>
          <w:b/>
          <w:sz w:val="24"/>
          <w:szCs w:val="24"/>
          <w:u w:val="single"/>
        </w:rPr>
        <w:tab/>
      </w:r>
      <w:r w:rsidRPr="0022066D">
        <w:rPr>
          <w:rFonts w:ascii="Arial" w:hAnsi="Arial" w:cs="Arial"/>
          <w:b/>
          <w:sz w:val="24"/>
          <w:szCs w:val="24"/>
          <w:u w:val="single"/>
        </w:rPr>
        <w:tab/>
      </w:r>
      <w:r w:rsidR="004C3BED">
        <w:rPr>
          <w:rFonts w:ascii="Arial" w:hAnsi="Arial" w:cs="Arial"/>
          <w:b/>
          <w:sz w:val="24"/>
          <w:szCs w:val="24"/>
          <w:u w:val="single"/>
        </w:rPr>
        <w:t xml:space="preserve">        </w:t>
      </w:r>
      <w:r w:rsidR="009563C2">
        <w:rPr>
          <w:rFonts w:ascii="Arial" w:hAnsi="Arial" w:cs="Arial"/>
          <w:b/>
          <w:sz w:val="24"/>
          <w:szCs w:val="24"/>
          <w:u w:val="single"/>
        </w:rPr>
        <w:t xml:space="preserve">                             </w:t>
      </w:r>
      <w:r w:rsidR="00421401">
        <w:rPr>
          <w:rFonts w:ascii="Arial" w:hAnsi="Arial" w:cs="Arial"/>
          <w:b/>
          <w:sz w:val="24"/>
          <w:szCs w:val="24"/>
          <w:u w:val="single"/>
        </w:rPr>
        <w:t xml:space="preserve">7 </w:t>
      </w:r>
      <w:r w:rsidR="009563C2">
        <w:rPr>
          <w:rFonts w:ascii="Arial" w:hAnsi="Arial" w:cs="Arial"/>
          <w:b/>
          <w:sz w:val="24"/>
          <w:szCs w:val="24"/>
          <w:u w:val="single"/>
        </w:rPr>
        <w:t>Nisan</w:t>
      </w:r>
      <w:r w:rsidR="009563C2" w:rsidRPr="009E0EDD">
        <w:rPr>
          <w:rFonts w:ascii="Arial" w:hAnsi="Arial" w:cs="Arial"/>
          <w:b/>
          <w:sz w:val="24"/>
          <w:szCs w:val="24"/>
          <w:u w:val="single"/>
        </w:rPr>
        <w:t xml:space="preserve"> </w:t>
      </w:r>
      <w:r w:rsidR="00E04D2E">
        <w:rPr>
          <w:rFonts w:ascii="Arial" w:hAnsi="Arial" w:cs="Arial"/>
          <w:b/>
          <w:sz w:val="24"/>
          <w:szCs w:val="24"/>
          <w:u w:val="single"/>
        </w:rPr>
        <w:t>202</w:t>
      </w:r>
      <w:r w:rsidR="005349E1">
        <w:rPr>
          <w:rFonts w:ascii="Arial" w:hAnsi="Arial" w:cs="Arial"/>
          <w:b/>
          <w:sz w:val="24"/>
          <w:szCs w:val="24"/>
          <w:u w:val="single"/>
        </w:rPr>
        <w:t>6</w:t>
      </w:r>
    </w:p>
    <w:p w14:paraId="3576B6E1" w14:textId="1F908A2A" w:rsidR="005F238F" w:rsidRPr="00342F0E" w:rsidRDefault="00E04D2E" w:rsidP="00E85E89">
      <w:pPr>
        <w:spacing w:line="360" w:lineRule="auto"/>
        <w:jc w:val="center"/>
        <w:rPr>
          <w:rFonts w:ascii="Arial" w:eastAsiaTheme="majorEastAsia" w:hAnsi="Arial" w:cs="Arial"/>
          <w:b/>
          <w:bCs/>
          <w:sz w:val="28"/>
          <w:szCs w:val="36"/>
        </w:rPr>
      </w:pPr>
      <w:r>
        <w:rPr>
          <w:rFonts w:ascii="Arial" w:eastAsiaTheme="majorEastAsia" w:hAnsi="Arial" w:cs="Arial"/>
          <w:b/>
          <w:bCs/>
          <w:sz w:val="28"/>
          <w:szCs w:val="36"/>
        </w:rPr>
        <w:t>Türkiye Hazır Beton Birliği 202</w:t>
      </w:r>
      <w:r w:rsidR="001A1D26">
        <w:rPr>
          <w:rFonts w:ascii="Arial" w:eastAsiaTheme="majorEastAsia" w:hAnsi="Arial" w:cs="Arial"/>
          <w:b/>
          <w:bCs/>
          <w:sz w:val="28"/>
          <w:szCs w:val="36"/>
        </w:rPr>
        <w:t>5</w:t>
      </w:r>
      <w:r w:rsidR="00F57689" w:rsidRPr="00342F0E">
        <w:rPr>
          <w:rFonts w:ascii="Arial" w:eastAsiaTheme="majorEastAsia" w:hAnsi="Arial" w:cs="Arial"/>
          <w:b/>
          <w:bCs/>
          <w:sz w:val="28"/>
          <w:szCs w:val="36"/>
        </w:rPr>
        <w:t xml:space="preserve"> Yılı Hazır Beton Sektör Raporu:</w:t>
      </w:r>
    </w:p>
    <w:p w14:paraId="48D47616" w14:textId="70D8CBD1" w:rsidR="008D6123" w:rsidRDefault="008D6123" w:rsidP="008D6123">
      <w:pPr>
        <w:spacing w:line="360" w:lineRule="auto"/>
        <w:rPr>
          <w:rFonts w:ascii="Arial" w:hAnsi="Arial" w:cs="Arial"/>
          <w:b/>
          <w:sz w:val="24"/>
          <w:szCs w:val="24"/>
        </w:rPr>
      </w:pPr>
      <w:r w:rsidRPr="008D6123">
        <w:rPr>
          <w:rFonts w:ascii="Arial" w:hAnsi="Arial" w:cs="Arial"/>
          <w:b/>
          <w:sz w:val="24"/>
          <w:szCs w:val="24"/>
        </w:rPr>
        <w:t>- İnşaat Sektörü 2025’te Ekonominin Lokomotifi Oldu</w:t>
      </w:r>
    </w:p>
    <w:p w14:paraId="60899765" w14:textId="23F08DA1" w:rsidR="004C3BED" w:rsidRPr="004C3BED" w:rsidRDefault="004C3BED" w:rsidP="008D6123">
      <w:pPr>
        <w:spacing w:line="360" w:lineRule="auto"/>
        <w:rPr>
          <w:rFonts w:ascii="Arial" w:hAnsi="Arial" w:cs="Arial"/>
          <w:b/>
          <w:sz w:val="24"/>
          <w:szCs w:val="24"/>
        </w:rPr>
      </w:pPr>
      <w:r w:rsidRPr="004C3BED">
        <w:rPr>
          <w:rFonts w:ascii="Arial" w:hAnsi="Arial" w:cs="Arial"/>
          <w:b/>
          <w:sz w:val="24"/>
          <w:szCs w:val="24"/>
        </w:rPr>
        <w:t>- Hazır Beton Sektörü 2025’te Güçlü Büyümesini Sürdürdü</w:t>
      </w:r>
    </w:p>
    <w:p w14:paraId="597DB073" w14:textId="1B90DC37" w:rsidR="001A1D26" w:rsidRDefault="004C3BED" w:rsidP="008D6123">
      <w:pPr>
        <w:spacing w:line="240" w:lineRule="auto"/>
        <w:rPr>
          <w:rFonts w:ascii="Arial" w:hAnsi="Arial" w:cs="Arial"/>
          <w:b/>
        </w:rPr>
      </w:pPr>
      <w:r w:rsidRPr="004C3BED">
        <w:rPr>
          <w:rFonts w:ascii="Arial" w:hAnsi="Arial" w:cs="Arial"/>
          <w:b/>
          <w:sz w:val="24"/>
          <w:szCs w:val="24"/>
        </w:rPr>
        <w:t xml:space="preserve">- Hazır Beton Sektörünün Gündeminde </w:t>
      </w:r>
      <w:r w:rsidRPr="008D6123">
        <w:rPr>
          <w:rFonts w:ascii="Arial" w:hAnsi="Arial" w:cs="Arial"/>
          <w:b/>
          <w:sz w:val="24"/>
          <w:szCs w:val="24"/>
        </w:rPr>
        <w:t xml:space="preserve">Dönüşüm ve </w:t>
      </w:r>
      <w:r w:rsidRPr="004C3BED">
        <w:rPr>
          <w:rFonts w:ascii="Arial" w:hAnsi="Arial" w:cs="Arial"/>
          <w:b/>
          <w:sz w:val="24"/>
          <w:szCs w:val="24"/>
        </w:rPr>
        <w:t>Sürdürülebilirlik Var</w:t>
      </w:r>
    </w:p>
    <w:p w14:paraId="3F964D92" w14:textId="0829DB73" w:rsidR="00F57689" w:rsidRDefault="005F238F" w:rsidP="003C60FA">
      <w:pPr>
        <w:spacing w:line="240" w:lineRule="auto"/>
        <w:jc w:val="both"/>
        <w:rPr>
          <w:rFonts w:ascii="Arial" w:hAnsi="Arial" w:cs="Arial"/>
          <w:b/>
        </w:rPr>
      </w:pPr>
      <w:r w:rsidRPr="00541A00">
        <w:rPr>
          <w:rFonts w:ascii="Arial" w:hAnsi="Arial" w:cs="Arial"/>
          <w:b/>
        </w:rPr>
        <w:t>Türkiye Hazır Beton Birliği</w:t>
      </w:r>
      <w:r w:rsidR="00FF7E52">
        <w:rPr>
          <w:rFonts w:ascii="Arial" w:hAnsi="Arial" w:cs="Arial"/>
          <w:b/>
        </w:rPr>
        <w:t xml:space="preserve">nin </w:t>
      </w:r>
      <w:r w:rsidR="004C3BED" w:rsidRPr="004C3BED">
        <w:rPr>
          <w:rFonts w:ascii="Arial" w:hAnsi="Arial" w:cs="Arial"/>
          <w:b/>
        </w:rPr>
        <w:t xml:space="preserve">2025 yılı Hazır Beton Sektör Raporu’na göre, Türkiye ekonomisi %3,6 büyürken inşaat sektörü %10,8 ile ekonominin üzerinde performans gösterdi. </w:t>
      </w:r>
      <w:r w:rsidR="008A6C37">
        <w:rPr>
          <w:rFonts w:ascii="Arial" w:hAnsi="Arial" w:cs="Arial"/>
          <w:b/>
        </w:rPr>
        <w:t>2025 yılında üretim hacmini %7,7 artıran h</w:t>
      </w:r>
      <w:r w:rsidR="004C3BED" w:rsidRPr="004C3BED">
        <w:rPr>
          <w:rFonts w:ascii="Arial" w:hAnsi="Arial" w:cs="Arial"/>
          <w:b/>
        </w:rPr>
        <w:t>azır beton sektörü ise 50 bini aşan istihdamı ve yaklaşık 293 milyar TL’lik cirosuyla</w:t>
      </w:r>
      <w:r w:rsidR="004C3BED">
        <w:rPr>
          <w:rFonts w:ascii="Arial" w:hAnsi="Arial" w:cs="Arial"/>
          <w:b/>
        </w:rPr>
        <w:t xml:space="preserve"> ekonomiye güçlü katkısını </w:t>
      </w:r>
      <w:r w:rsidR="004C3BED" w:rsidRPr="004C3BED">
        <w:rPr>
          <w:rFonts w:ascii="Arial" w:hAnsi="Arial" w:cs="Arial"/>
          <w:b/>
        </w:rPr>
        <w:t>sürdürürken, sektörün geleceğinde düşük karbonlu üretim ve dijital dönüşüm öne çık</w:t>
      </w:r>
      <w:r w:rsidR="008D28EF">
        <w:rPr>
          <w:rFonts w:ascii="Arial" w:hAnsi="Arial" w:cs="Arial"/>
          <w:b/>
        </w:rPr>
        <w:t>tı</w:t>
      </w:r>
      <w:r w:rsidR="008A6C37">
        <w:rPr>
          <w:rFonts w:ascii="Arial" w:hAnsi="Arial" w:cs="Arial"/>
          <w:b/>
        </w:rPr>
        <w:t>.</w:t>
      </w:r>
    </w:p>
    <w:p w14:paraId="042AC08C" w14:textId="5BEB67F1" w:rsidR="00DB02BA" w:rsidRPr="00F01B27" w:rsidRDefault="00DB02BA" w:rsidP="003C60FA">
      <w:pPr>
        <w:spacing w:line="240" w:lineRule="auto"/>
        <w:jc w:val="both"/>
        <w:rPr>
          <w:rFonts w:ascii="Arial" w:hAnsi="Arial" w:cs="Arial"/>
        </w:rPr>
      </w:pPr>
      <w:r w:rsidRPr="00F01B27">
        <w:rPr>
          <w:rFonts w:ascii="Arial" w:hAnsi="Arial" w:cs="Arial"/>
        </w:rPr>
        <w:t>Türkiye Hazır Beton Birliği (THBB), Türkiye İstatistik Kurumu (TÜİK), Merkez Bankası, Türkiye Odalar ve Borsalar Birliği (TOBB) verileri ile THBB üyelerinin, THBB dışındaki üreticilerin ve tedarikçilerin sağladığı bilgiler ışığında hazırlanan 202</w:t>
      </w:r>
      <w:r w:rsidR="005349E1">
        <w:rPr>
          <w:rFonts w:ascii="Arial" w:hAnsi="Arial" w:cs="Arial"/>
        </w:rPr>
        <w:t>5</w:t>
      </w:r>
      <w:r w:rsidRPr="00F01B27">
        <w:rPr>
          <w:rFonts w:ascii="Arial" w:hAnsi="Arial" w:cs="Arial"/>
        </w:rPr>
        <w:t xml:space="preserve"> yılı “Hazır Beton Sektör </w:t>
      </w:r>
      <w:proofErr w:type="spellStart"/>
      <w:r w:rsidRPr="00F01B27">
        <w:rPr>
          <w:rFonts w:ascii="Arial" w:hAnsi="Arial" w:cs="Arial"/>
        </w:rPr>
        <w:t>Raporu”nu</w:t>
      </w:r>
      <w:proofErr w:type="spellEnd"/>
      <w:r w:rsidRPr="00F01B27">
        <w:rPr>
          <w:rFonts w:ascii="Arial" w:hAnsi="Arial" w:cs="Arial"/>
        </w:rPr>
        <w:t xml:space="preserve"> yayımladı. Rapor, Türkiye ekonomisi, inşaat sektörü ve hazır beton sektörüne yönelik detaylı analizler, değerlendirmeler ve projeksiyonlar içeriyor.</w:t>
      </w:r>
    </w:p>
    <w:p w14:paraId="35664807" w14:textId="2ECA0E74" w:rsidR="00DF0032" w:rsidRPr="00DF0032" w:rsidRDefault="004B40CD" w:rsidP="00DF0032">
      <w:pPr>
        <w:spacing w:line="240" w:lineRule="auto"/>
        <w:jc w:val="both"/>
        <w:rPr>
          <w:rFonts w:ascii="Arial" w:hAnsi="Arial" w:cs="Arial"/>
          <w:b/>
        </w:rPr>
      </w:pPr>
      <w:r>
        <w:rPr>
          <w:rFonts w:ascii="Arial" w:hAnsi="Arial" w:cs="Arial"/>
          <w:b/>
        </w:rPr>
        <w:t>İ</w:t>
      </w:r>
      <w:r w:rsidR="0029406A">
        <w:rPr>
          <w:rFonts w:ascii="Arial" w:hAnsi="Arial" w:cs="Arial"/>
          <w:b/>
        </w:rPr>
        <w:t>nşaat</w:t>
      </w:r>
      <w:r w:rsidR="00DF0032" w:rsidRPr="00DF0032">
        <w:rPr>
          <w:rFonts w:ascii="Arial" w:hAnsi="Arial" w:cs="Arial"/>
          <w:b/>
        </w:rPr>
        <w:t xml:space="preserve"> Sektörü 2025’te Ekonominin Üzerinde Büyüdü</w:t>
      </w:r>
    </w:p>
    <w:p w14:paraId="25F3CC19" w14:textId="7749849C" w:rsidR="00DF0032" w:rsidRPr="008D6123" w:rsidRDefault="00DF0032" w:rsidP="00DF0032">
      <w:pPr>
        <w:spacing w:line="240" w:lineRule="auto"/>
        <w:jc w:val="both"/>
        <w:rPr>
          <w:rFonts w:ascii="Arial" w:hAnsi="Arial" w:cs="Arial"/>
        </w:rPr>
      </w:pPr>
      <w:r w:rsidRPr="008D6123">
        <w:rPr>
          <w:rFonts w:ascii="Arial" w:hAnsi="Arial" w:cs="Arial"/>
        </w:rPr>
        <w:t xml:space="preserve">2025 yılı, Türkiye ekonomisinde dengelenme ve </w:t>
      </w:r>
      <w:proofErr w:type="spellStart"/>
      <w:r w:rsidRPr="008D6123">
        <w:rPr>
          <w:rFonts w:ascii="Arial" w:hAnsi="Arial" w:cs="Arial"/>
        </w:rPr>
        <w:t>dezenflasyon</w:t>
      </w:r>
      <w:proofErr w:type="spellEnd"/>
      <w:r w:rsidRPr="008D6123">
        <w:rPr>
          <w:rFonts w:ascii="Arial" w:hAnsi="Arial" w:cs="Arial"/>
        </w:rPr>
        <w:t xml:space="preserve"> sürecinin etkilerinin sürdüğü; buna karşılık inşaat sektörünün yeniden güçlü bir büyüme ivmesi yakaladığı bir dönem olarak kaydedildi. Türkiye ekonomisi </w:t>
      </w:r>
      <w:r w:rsidR="0029406A">
        <w:rPr>
          <w:rFonts w:ascii="Arial" w:hAnsi="Arial" w:cs="Arial"/>
        </w:rPr>
        <w:t>2025 yılında</w:t>
      </w:r>
      <w:r w:rsidRPr="008D6123">
        <w:rPr>
          <w:rFonts w:ascii="Arial" w:hAnsi="Arial" w:cs="Arial"/>
        </w:rPr>
        <w:t xml:space="preserve"> %3,6 büyürken, inşaat sektörü %10,8’lik performansıyla ekonominin üzerinde bir büyüme sergiledi. Deprem sonrası yeniden inşa faaliyetleri, kentsel dönüşüm uygulamaları, kamu altyapı yatırımları ve ertelenmiş talep, sektördeki bu canlılığın temel belirleyicileri oldu.</w:t>
      </w:r>
    </w:p>
    <w:p w14:paraId="60AFA2DE" w14:textId="033B1FDD" w:rsidR="00DF0032" w:rsidRPr="00DF0032" w:rsidRDefault="00DF0032" w:rsidP="00DF0032">
      <w:pPr>
        <w:spacing w:line="240" w:lineRule="auto"/>
        <w:jc w:val="both"/>
        <w:rPr>
          <w:rFonts w:ascii="Arial" w:hAnsi="Arial" w:cs="Arial"/>
          <w:b/>
        </w:rPr>
      </w:pPr>
      <w:r w:rsidRPr="00DF0032">
        <w:rPr>
          <w:rFonts w:ascii="Arial" w:hAnsi="Arial" w:cs="Arial"/>
          <w:b/>
        </w:rPr>
        <w:t>Hazır Beton Sektö</w:t>
      </w:r>
      <w:r w:rsidR="004B40CD">
        <w:rPr>
          <w:rFonts w:ascii="Arial" w:hAnsi="Arial" w:cs="Arial"/>
          <w:b/>
        </w:rPr>
        <w:t xml:space="preserve">rü Ekonomiye Güçlü Katkıda </w:t>
      </w:r>
      <w:r w:rsidR="00FF7E52">
        <w:rPr>
          <w:rFonts w:ascii="Arial" w:hAnsi="Arial" w:cs="Arial"/>
          <w:b/>
        </w:rPr>
        <w:t>Bulundu</w:t>
      </w:r>
    </w:p>
    <w:p w14:paraId="3EAB11F4" w14:textId="307CE2E2" w:rsidR="00DF0032" w:rsidRPr="008D6123" w:rsidRDefault="001A1D26" w:rsidP="00DF0032">
      <w:pPr>
        <w:spacing w:line="240" w:lineRule="auto"/>
        <w:jc w:val="both"/>
        <w:rPr>
          <w:rFonts w:ascii="Arial" w:hAnsi="Arial" w:cs="Arial"/>
        </w:rPr>
      </w:pPr>
      <w:r w:rsidRPr="001A1D26">
        <w:rPr>
          <w:rFonts w:ascii="Arial" w:hAnsi="Arial" w:cs="Arial"/>
        </w:rPr>
        <w:t>Raporu</w:t>
      </w:r>
      <w:r w:rsidR="007E4BF3">
        <w:rPr>
          <w:rFonts w:ascii="Arial" w:hAnsi="Arial" w:cs="Arial"/>
        </w:rPr>
        <w:t xml:space="preserve"> </w:t>
      </w:r>
      <w:r w:rsidRPr="001A1D26">
        <w:rPr>
          <w:rFonts w:ascii="Arial" w:hAnsi="Arial" w:cs="Arial"/>
        </w:rPr>
        <w:t>değerlendir</w:t>
      </w:r>
      <w:r w:rsidR="007E4BF3">
        <w:rPr>
          <w:rFonts w:ascii="Arial" w:hAnsi="Arial" w:cs="Arial"/>
        </w:rPr>
        <w:t xml:space="preserve">en </w:t>
      </w:r>
      <w:r w:rsidRPr="001A1D26">
        <w:rPr>
          <w:rFonts w:ascii="Arial" w:hAnsi="Arial" w:cs="Arial"/>
        </w:rPr>
        <w:t>Türkiye Hazır Beton Birliği (THBB) Yönetim Kurulu Başkanı Yavuz Işık,</w:t>
      </w:r>
      <w:r>
        <w:rPr>
          <w:rFonts w:ascii="Arial" w:hAnsi="Arial" w:cs="Arial"/>
        </w:rPr>
        <w:t xml:space="preserve"> “</w:t>
      </w:r>
      <w:r w:rsidR="00DF0032" w:rsidRPr="008D6123">
        <w:rPr>
          <w:rFonts w:ascii="Arial" w:hAnsi="Arial" w:cs="Arial"/>
        </w:rPr>
        <w:t xml:space="preserve">İnşaat sektöründeki büyümeye paralel olarak hazır beton sektörü de 2025 yılında </w:t>
      </w:r>
      <w:r w:rsidR="004B40CD">
        <w:rPr>
          <w:rFonts w:ascii="Arial" w:hAnsi="Arial" w:cs="Arial"/>
        </w:rPr>
        <w:t xml:space="preserve">Türkiye ekonomisine güçlü katkıda bulunmaya </w:t>
      </w:r>
      <w:r w:rsidR="00DF0032" w:rsidRPr="008D6123">
        <w:rPr>
          <w:rFonts w:ascii="Arial" w:hAnsi="Arial" w:cs="Arial"/>
        </w:rPr>
        <w:t xml:space="preserve">devam etti. Türkiye, hazır beton üretiminde Avrupa’daki liderliğini korurken; tesis başına üretim, teknik kapasite, yaygın hizmet ağı ve </w:t>
      </w:r>
      <w:proofErr w:type="spellStart"/>
      <w:r w:rsidR="00DF0032" w:rsidRPr="008D6123">
        <w:rPr>
          <w:rFonts w:ascii="Arial" w:hAnsi="Arial" w:cs="Arial"/>
        </w:rPr>
        <w:t>operasyonel</w:t>
      </w:r>
      <w:proofErr w:type="spellEnd"/>
      <w:r w:rsidR="00DF0032" w:rsidRPr="008D6123">
        <w:rPr>
          <w:rFonts w:ascii="Arial" w:hAnsi="Arial" w:cs="Arial"/>
        </w:rPr>
        <w:t xml:space="preserve"> ye</w:t>
      </w:r>
      <w:r w:rsidR="0029406A" w:rsidRPr="008D6123">
        <w:rPr>
          <w:rFonts w:ascii="Arial" w:hAnsi="Arial" w:cs="Arial"/>
        </w:rPr>
        <w:t xml:space="preserve">tkinlik açısından da öne çıktı. Resmî verilere göre sektör, </w:t>
      </w:r>
      <w:r w:rsidR="00DF0032" w:rsidRPr="008D6123">
        <w:rPr>
          <w:rFonts w:ascii="Arial" w:hAnsi="Arial" w:cs="Arial"/>
        </w:rPr>
        <w:t>50 bini aşan istihdam</w:t>
      </w:r>
      <w:r w:rsidR="007E4BF3">
        <w:rPr>
          <w:rFonts w:ascii="Arial" w:hAnsi="Arial" w:cs="Arial"/>
        </w:rPr>
        <w:t>ı</w:t>
      </w:r>
      <w:r w:rsidR="0029406A" w:rsidRPr="008D6123">
        <w:rPr>
          <w:rFonts w:ascii="Arial" w:hAnsi="Arial" w:cs="Arial"/>
        </w:rPr>
        <w:t xml:space="preserve"> ve y</w:t>
      </w:r>
      <w:r w:rsidR="00DF0032" w:rsidRPr="008D6123">
        <w:rPr>
          <w:rFonts w:ascii="Arial" w:hAnsi="Arial" w:cs="Arial"/>
        </w:rPr>
        <w:t>aklaşık 293 milyar TL</w:t>
      </w:r>
      <w:r w:rsidR="0029406A" w:rsidRPr="008D6123">
        <w:rPr>
          <w:rFonts w:ascii="Arial" w:hAnsi="Arial" w:cs="Arial"/>
        </w:rPr>
        <w:t>’</w:t>
      </w:r>
      <w:r w:rsidR="007E4BF3">
        <w:rPr>
          <w:rFonts w:ascii="Arial" w:hAnsi="Arial" w:cs="Arial"/>
        </w:rPr>
        <w:t xml:space="preserve">lik </w:t>
      </w:r>
      <w:r w:rsidR="00DF0032" w:rsidRPr="008D6123">
        <w:rPr>
          <w:rFonts w:ascii="Arial" w:hAnsi="Arial" w:cs="Arial"/>
        </w:rPr>
        <w:t>ciro</w:t>
      </w:r>
      <w:r w:rsidR="007E4BF3">
        <w:rPr>
          <w:rFonts w:ascii="Arial" w:hAnsi="Arial" w:cs="Arial"/>
        </w:rPr>
        <w:t>suyla ö</w:t>
      </w:r>
      <w:r w:rsidR="00DF0032" w:rsidRPr="008D6123">
        <w:rPr>
          <w:rFonts w:ascii="Arial" w:hAnsi="Arial" w:cs="Arial"/>
        </w:rPr>
        <w:t>nemli bir ekonomik büyüklüğe ulaştı.</w:t>
      </w:r>
      <w:r w:rsidR="00BD3FB6">
        <w:rPr>
          <w:rFonts w:ascii="Arial" w:hAnsi="Arial" w:cs="Arial"/>
        </w:rPr>
        <w:t xml:space="preserve"> </w:t>
      </w:r>
      <w:r w:rsidR="00BD3FB6" w:rsidRPr="00BD3FB6">
        <w:rPr>
          <w:rFonts w:ascii="Arial" w:hAnsi="Arial" w:cs="Arial"/>
        </w:rPr>
        <w:t xml:space="preserve">THBB tarafından yapılan </w:t>
      </w:r>
      <w:proofErr w:type="spellStart"/>
      <w:r w:rsidR="00BD3FB6" w:rsidRPr="00BD3FB6">
        <w:rPr>
          <w:rFonts w:ascii="Arial" w:hAnsi="Arial" w:cs="Arial"/>
        </w:rPr>
        <w:t>sektörel</w:t>
      </w:r>
      <w:proofErr w:type="spellEnd"/>
      <w:r w:rsidR="00BD3FB6" w:rsidRPr="00BD3FB6">
        <w:rPr>
          <w:rFonts w:ascii="Arial" w:hAnsi="Arial" w:cs="Arial"/>
        </w:rPr>
        <w:t xml:space="preserve"> araştırmaya ve çeşitli veriler kullanılarak oluşturulan modellere göre 2025 yılında 140 milyon m</w:t>
      </w:r>
      <w:r w:rsidR="00BD3FB6" w:rsidRPr="008D6123">
        <w:rPr>
          <w:rFonts w:ascii="Arial" w:hAnsi="Arial" w:cs="Arial"/>
          <w:vertAlign w:val="superscript"/>
        </w:rPr>
        <w:t>3</w:t>
      </w:r>
      <w:r w:rsidR="00BD3FB6" w:rsidRPr="00BD3FB6">
        <w:rPr>
          <w:rFonts w:ascii="Arial" w:hAnsi="Arial" w:cs="Arial"/>
        </w:rPr>
        <w:t xml:space="preserve"> hazır beton üretimi gerçekleştiği tahmin edilmektedir.</w:t>
      </w:r>
      <w:r w:rsidR="00DF0032" w:rsidRPr="008D6123">
        <w:rPr>
          <w:rFonts w:ascii="Arial" w:hAnsi="Arial" w:cs="Arial"/>
        </w:rPr>
        <w:t xml:space="preserve"> </w:t>
      </w:r>
      <w:r w:rsidR="0029406A" w:rsidRPr="008D6123">
        <w:rPr>
          <w:rFonts w:ascii="Arial" w:hAnsi="Arial" w:cs="Arial"/>
        </w:rPr>
        <w:t>Bu büyüklük üretim hacminin ötesinde istihdam, lojistik, ekipman, agrega, çimento, kimyasal katkı ve hizmet ekosistemiyle birlikte çok geniş bir katma değer alanını temsil etmektedir.</w:t>
      </w:r>
      <w:r>
        <w:rPr>
          <w:rFonts w:ascii="Arial" w:hAnsi="Arial" w:cs="Arial"/>
        </w:rPr>
        <w:t>” dedi.</w:t>
      </w:r>
    </w:p>
    <w:p w14:paraId="7DCC3C76" w14:textId="14DA0E3D" w:rsidR="00DF0032" w:rsidRPr="00DF0032" w:rsidRDefault="00DF0032" w:rsidP="00DF0032">
      <w:pPr>
        <w:spacing w:line="240" w:lineRule="auto"/>
        <w:jc w:val="both"/>
        <w:rPr>
          <w:rFonts w:ascii="Arial" w:hAnsi="Arial" w:cs="Arial"/>
          <w:b/>
        </w:rPr>
      </w:pPr>
      <w:r w:rsidRPr="00DF0032">
        <w:rPr>
          <w:rFonts w:ascii="Arial" w:hAnsi="Arial" w:cs="Arial"/>
          <w:b/>
        </w:rPr>
        <w:t>Sektörde Dönüşüm İhtiyacı Daha Görünür H</w:t>
      </w:r>
      <w:r w:rsidR="00FC4DD5">
        <w:rPr>
          <w:rFonts w:ascii="Arial" w:hAnsi="Arial" w:cs="Arial"/>
          <w:b/>
        </w:rPr>
        <w:t>â</w:t>
      </w:r>
      <w:r w:rsidRPr="00DF0032">
        <w:rPr>
          <w:rFonts w:ascii="Arial" w:hAnsi="Arial" w:cs="Arial"/>
          <w:b/>
        </w:rPr>
        <w:t>le Geldi</w:t>
      </w:r>
    </w:p>
    <w:p w14:paraId="57C24901" w14:textId="14ECD0F1" w:rsidR="00DF0032" w:rsidRPr="008D6123" w:rsidRDefault="001A1D26" w:rsidP="00DF0032">
      <w:pPr>
        <w:spacing w:line="240" w:lineRule="auto"/>
        <w:jc w:val="both"/>
        <w:rPr>
          <w:rFonts w:ascii="Arial" w:hAnsi="Arial" w:cs="Arial"/>
        </w:rPr>
      </w:pPr>
      <w:r w:rsidRPr="004C3BED">
        <w:rPr>
          <w:rFonts w:ascii="Arial" w:hAnsi="Arial" w:cs="Arial"/>
        </w:rPr>
        <w:t>2025 yılı</w:t>
      </w:r>
      <w:r>
        <w:rPr>
          <w:rFonts w:ascii="Arial" w:hAnsi="Arial" w:cs="Arial"/>
        </w:rPr>
        <w:t>nı</w:t>
      </w:r>
      <w:r w:rsidR="00A1716B">
        <w:rPr>
          <w:rFonts w:ascii="Arial" w:hAnsi="Arial" w:cs="Arial"/>
        </w:rPr>
        <w:t>n,</w:t>
      </w:r>
      <w:r w:rsidR="00DF0032" w:rsidRPr="008D6123">
        <w:rPr>
          <w:rFonts w:ascii="Arial" w:hAnsi="Arial" w:cs="Arial"/>
        </w:rPr>
        <w:t xml:space="preserve"> büyüme rakamlarının ötesinde sektörde dönüşüm ihtiyacının daha </w:t>
      </w:r>
      <w:r w:rsidRPr="004C3BED">
        <w:rPr>
          <w:rFonts w:ascii="Arial" w:hAnsi="Arial" w:cs="Arial"/>
        </w:rPr>
        <w:t>net hissedildiği bir dönem oldu</w:t>
      </w:r>
      <w:r>
        <w:rPr>
          <w:rFonts w:ascii="Arial" w:hAnsi="Arial" w:cs="Arial"/>
        </w:rPr>
        <w:t>ğunu ifade eden THBB Başkanı Yavuz Işık, “</w:t>
      </w:r>
      <w:r w:rsidRPr="001A1D26">
        <w:rPr>
          <w:rFonts w:ascii="Arial" w:hAnsi="Arial" w:cs="Arial"/>
        </w:rPr>
        <w:t xml:space="preserve">Finansmana erişim, maliyet yönetimi, nitelikli iş gücü ihtiyacı, ham madde temini ve maliyet baskıları sektörümüzün gündeminde yer almaya devam etmiştir ancak artık çok daha net görülmektedir ki, hazır beton sektörünün geleceği yalnızca daha fazla üretimde değil; daha </w:t>
      </w:r>
      <w:r w:rsidRPr="001A1D26">
        <w:rPr>
          <w:rFonts w:ascii="Arial" w:hAnsi="Arial" w:cs="Arial"/>
        </w:rPr>
        <w:lastRenderedPageBreak/>
        <w:t>verimli, daha izlenebilir, daha düşük karbonlu ve daha dirençli bir yapılaşma yaklaşımında yatmaktadır.</w:t>
      </w:r>
      <w:r w:rsidR="00AB6C54">
        <w:rPr>
          <w:rFonts w:ascii="Arial" w:hAnsi="Arial" w:cs="Arial"/>
        </w:rPr>
        <w:t xml:space="preserve"> </w:t>
      </w:r>
      <w:r w:rsidR="00E709A2" w:rsidRPr="008D6123">
        <w:rPr>
          <w:rFonts w:ascii="Arial" w:hAnsi="Arial" w:cs="Arial"/>
        </w:rPr>
        <w:t xml:space="preserve">Düşük karbonlu yeşil çimento kullanımını yaygınlaştırmayı hedefleyen düzenlemelerin 1 Ocak 2025 itibarıyla yürürlüğe girmesi, emisyon ticaret sistemi hazırlıkları, Avrupa Yeşil Mutabakatı ve sınırda karbon düzenlemesi gibi başlıklar; çevresel performansın artık teknik ve ticari rekabetin ayrılmaz bir parçası hâline geldiğini </w:t>
      </w:r>
      <w:r w:rsidR="009F1146" w:rsidRPr="004C3BED">
        <w:rPr>
          <w:rFonts w:ascii="Arial" w:hAnsi="Arial" w:cs="Arial"/>
        </w:rPr>
        <w:t>ortaya koydu.</w:t>
      </w:r>
      <w:r w:rsidR="009F1146">
        <w:rPr>
          <w:rFonts w:ascii="Arial" w:hAnsi="Arial" w:cs="Arial"/>
        </w:rPr>
        <w:t xml:space="preserve"> </w:t>
      </w:r>
      <w:r w:rsidR="00E709A2" w:rsidRPr="008D6123">
        <w:rPr>
          <w:rFonts w:ascii="Arial" w:hAnsi="Arial" w:cs="Arial"/>
        </w:rPr>
        <w:t>Bu çerçevede,</w:t>
      </w:r>
      <w:r w:rsidR="00D4029A" w:rsidRPr="008D6123">
        <w:rPr>
          <w:rFonts w:ascii="Arial" w:hAnsi="Arial" w:cs="Arial"/>
        </w:rPr>
        <w:t xml:space="preserve"> </w:t>
      </w:r>
      <w:r w:rsidR="00E709A2" w:rsidRPr="008D6123">
        <w:rPr>
          <w:rFonts w:ascii="Arial" w:hAnsi="Arial" w:cs="Arial"/>
        </w:rPr>
        <w:t xml:space="preserve">düşük karbonlu beton çözümleri, geri kazanılmış kaynak kullanımı, su verimliliği, elektrikli filo dönüşümü ve dijital optimizasyon, </w:t>
      </w:r>
      <w:r w:rsidR="00DF0032" w:rsidRPr="008D6123">
        <w:rPr>
          <w:rFonts w:ascii="Arial" w:hAnsi="Arial" w:cs="Arial"/>
        </w:rPr>
        <w:t>önümüzdeki dönemin öncelikli çalışma alanları olarak öne çıkıyor.</w:t>
      </w:r>
      <w:r>
        <w:rPr>
          <w:rFonts w:ascii="Arial" w:hAnsi="Arial" w:cs="Arial"/>
        </w:rPr>
        <w:t>” diye konuştu.</w:t>
      </w:r>
    </w:p>
    <w:p w14:paraId="2CB0BCE2" w14:textId="0FA2512F" w:rsidR="00DF0032" w:rsidRPr="00DF0032" w:rsidRDefault="00DF0032" w:rsidP="00DF0032">
      <w:pPr>
        <w:spacing w:line="240" w:lineRule="auto"/>
        <w:jc w:val="both"/>
        <w:rPr>
          <w:rFonts w:ascii="Arial" w:hAnsi="Arial" w:cs="Arial"/>
          <w:b/>
        </w:rPr>
      </w:pPr>
      <w:r w:rsidRPr="00DF0032">
        <w:rPr>
          <w:rFonts w:ascii="Arial" w:hAnsi="Arial" w:cs="Arial"/>
          <w:b/>
        </w:rPr>
        <w:t xml:space="preserve">“Üçüz Dönüşüm” </w:t>
      </w:r>
      <w:r w:rsidR="008D28EF">
        <w:rPr>
          <w:rFonts w:ascii="Arial" w:hAnsi="Arial" w:cs="Arial"/>
          <w:b/>
        </w:rPr>
        <w:t>Projesini</w:t>
      </w:r>
      <w:r w:rsidR="00FC4DD5">
        <w:rPr>
          <w:rFonts w:ascii="Arial" w:hAnsi="Arial" w:cs="Arial"/>
          <w:b/>
        </w:rPr>
        <w:t xml:space="preserve"> Hayata Geçirdik</w:t>
      </w:r>
    </w:p>
    <w:p w14:paraId="74FBF3F3" w14:textId="2BFA6CB2" w:rsidR="00DF0032" w:rsidRPr="008D6123" w:rsidRDefault="00A1716B" w:rsidP="00DF0032">
      <w:pPr>
        <w:spacing w:line="240" w:lineRule="auto"/>
        <w:jc w:val="both"/>
        <w:rPr>
          <w:rFonts w:ascii="Arial" w:hAnsi="Arial" w:cs="Arial"/>
        </w:rPr>
      </w:pPr>
      <w:r w:rsidRPr="004C3BED">
        <w:rPr>
          <w:rFonts w:ascii="Arial" w:hAnsi="Arial" w:cs="Arial"/>
        </w:rPr>
        <w:t>Bu anlayışla</w:t>
      </w:r>
      <w:r>
        <w:rPr>
          <w:rFonts w:ascii="Arial" w:hAnsi="Arial" w:cs="Arial"/>
        </w:rPr>
        <w:t xml:space="preserve"> </w:t>
      </w:r>
      <w:r w:rsidR="001A1D26" w:rsidRPr="004C3BED">
        <w:rPr>
          <w:rFonts w:ascii="Arial" w:hAnsi="Arial" w:cs="Arial"/>
        </w:rPr>
        <w:t>Türkiye Hazır Beton Birliği</w:t>
      </w:r>
      <w:r w:rsidR="001A1D26">
        <w:rPr>
          <w:rFonts w:ascii="Arial" w:hAnsi="Arial" w:cs="Arial"/>
        </w:rPr>
        <w:t xml:space="preserve"> olarak</w:t>
      </w:r>
      <w:r w:rsidR="00DF0032" w:rsidRPr="008D6123">
        <w:rPr>
          <w:rFonts w:ascii="Arial" w:hAnsi="Arial" w:cs="Arial"/>
        </w:rPr>
        <w:t xml:space="preserve"> 2025 yılında sektöre yönelik “Üçüz Dönüşüm Danışm</w:t>
      </w:r>
      <w:r w:rsidR="001A1D26" w:rsidRPr="004C3BED">
        <w:rPr>
          <w:rFonts w:ascii="Arial" w:hAnsi="Arial" w:cs="Arial"/>
        </w:rPr>
        <w:t>anlığı” modelini hayata geçirdi</w:t>
      </w:r>
      <w:r w:rsidR="001A1D26">
        <w:rPr>
          <w:rFonts w:ascii="Arial" w:hAnsi="Arial" w:cs="Arial"/>
        </w:rPr>
        <w:t>klerini vurgulayan THBB Başkanı Yavuz Işık,</w:t>
      </w:r>
      <w:r w:rsidR="00DF0032" w:rsidRPr="008D6123">
        <w:rPr>
          <w:rFonts w:ascii="Arial" w:hAnsi="Arial" w:cs="Arial"/>
        </w:rPr>
        <w:t xml:space="preserve"> </w:t>
      </w:r>
      <w:r w:rsidR="001A1D26">
        <w:rPr>
          <w:rFonts w:ascii="Arial" w:hAnsi="Arial" w:cs="Arial"/>
        </w:rPr>
        <w:t>“</w:t>
      </w:r>
      <w:r w:rsidR="001A1D26" w:rsidRPr="001A1D26">
        <w:rPr>
          <w:rFonts w:ascii="Arial" w:hAnsi="Arial" w:cs="Arial"/>
        </w:rPr>
        <w:t xml:space="preserve">Yeşil dönüşüm, dijital dönüşüm ve insani/sosyal dönüşümü </w:t>
      </w:r>
      <w:r w:rsidR="00FF7E52">
        <w:rPr>
          <w:rFonts w:ascii="Arial" w:hAnsi="Arial" w:cs="Arial"/>
        </w:rPr>
        <w:t>entegre bir yapıda</w:t>
      </w:r>
      <w:r w:rsidR="001A1D26" w:rsidRPr="001A1D26">
        <w:rPr>
          <w:rFonts w:ascii="Arial" w:hAnsi="Arial" w:cs="Arial"/>
        </w:rPr>
        <w:t xml:space="preserve"> ele alan bu model; GPS ve </w:t>
      </w:r>
      <w:proofErr w:type="spellStart"/>
      <w:r w:rsidR="001A1D26" w:rsidRPr="001A1D26">
        <w:rPr>
          <w:rFonts w:ascii="Arial" w:hAnsi="Arial" w:cs="Arial"/>
        </w:rPr>
        <w:t>IoT</w:t>
      </w:r>
      <w:proofErr w:type="spellEnd"/>
      <w:r w:rsidR="001A1D26" w:rsidRPr="001A1D26">
        <w:rPr>
          <w:rFonts w:ascii="Arial" w:hAnsi="Arial" w:cs="Arial"/>
        </w:rPr>
        <w:t xml:space="preserve"> </w:t>
      </w:r>
      <w:r w:rsidR="00086B82">
        <w:rPr>
          <w:rFonts w:ascii="Arial" w:hAnsi="Arial" w:cs="Arial"/>
        </w:rPr>
        <w:t xml:space="preserve">(nesnelerin interneti) </w:t>
      </w:r>
      <w:r w:rsidR="001A1D26" w:rsidRPr="001A1D26">
        <w:rPr>
          <w:rFonts w:ascii="Arial" w:hAnsi="Arial" w:cs="Arial"/>
        </w:rPr>
        <w:t xml:space="preserve">tabanlı filo takibi, yapay zekâ destekli rota optimizasyonu, üretim-teslimat eşgüdümü, veri temelli performans yönetimi ve eğitim modüllerini bütüncül bir sistem olarak sunmaktadır. Ölçülebilir faydalar sağlayan bu yaklaşım, sektörümüzde yalnızca </w:t>
      </w:r>
      <w:proofErr w:type="spellStart"/>
      <w:r w:rsidR="001A1D26" w:rsidRPr="001A1D26">
        <w:rPr>
          <w:rFonts w:ascii="Arial" w:hAnsi="Arial" w:cs="Arial"/>
        </w:rPr>
        <w:t>operasyonel</w:t>
      </w:r>
      <w:proofErr w:type="spellEnd"/>
      <w:r w:rsidR="001A1D26" w:rsidRPr="001A1D26">
        <w:rPr>
          <w:rFonts w:ascii="Arial" w:hAnsi="Arial" w:cs="Arial"/>
        </w:rPr>
        <w:t xml:space="preserve"> verimliliği artırmakla kalmamakta; aynı zamanda güvenlik, maliyet kontrolü ve sürdürülebilirlik performansını da güçlendirmektedir. Hazır beton sektörünün geleceğini, ancak bu üç dönüşüm eksenini birlikte ele alarak kalıcı biçimde güçlendirebileceğimize inanıyoruz.</w:t>
      </w:r>
      <w:r w:rsidR="001A1D26">
        <w:rPr>
          <w:rFonts w:ascii="Arial" w:hAnsi="Arial" w:cs="Arial"/>
        </w:rPr>
        <w:t>” şeklinde konuştu.</w:t>
      </w:r>
    </w:p>
    <w:p w14:paraId="2AD3DDEC" w14:textId="77777777" w:rsidR="00FC4DD5" w:rsidRDefault="00FC4DD5" w:rsidP="00DF0032">
      <w:pPr>
        <w:spacing w:line="240" w:lineRule="auto"/>
        <w:jc w:val="both"/>
        <w:rPr>
          <w:rFonts w:ascii="Arial" w:hAnsi="Arial" w:cs="Arial"/>
          <w:b/>
        </w:rPr>
      </w:pPr>
      <w:r>
        <w:rPr>
          <w:rFonts w:ascii="Arial" w:hAnsi="Arial" w:cs="Arial"/>
          <w:b/>
        </w:rPr>
        <w:t>Dirençli Yapılaşmanın Önemini Vurguluyoruz</w:t>
      </w:r>
    </w:p>
    <w:p w14:paraId="3D58C035" w14:textId="696481BF" w:rsidR="00DF0032" w:rsidRPr="008D6123" w:rsidRDefault="009F1146" w:rsidP="00DF0032">
      <w:pPr>
        <w:spacing w:line="240" w:lineRule="auto"/>
        <w:jc w:val="both"/>
        <w:rPr>
          <w:rFonts w:ascii="Arial" w:hAnsi="Arial" w:cs="Arial"/>
        </w:rPr>
      </w:pPr>
      <w:r w:rsidRPr="008D6123">
        <w:rPr>
          <w:rFonts w:ascii="Arial" w:hAnsi="Arial" w:cs="Arial"/>
        </w:rPr>
        <w:t>2025 yılında üzerin</w:t>
      </w:r>
      <w:r w:rsidR="00E76301" w:rsidRPr="004C3BED">
        <w:rPr>
          <w:rFonts w:ascii="Arial" w:hAnsi="Arial" w:cs="Arial"/>
        </w:rPr>
        <w:t xml:space="preserve">de </w:t>
      </w:r>
      <w:r w:rsidR="00E76301">
        <w:rPr>
          <w:rFonts w:ascii="Arial" w:hAnsi="Arial" w:cs="Arial"/>
        </w:rPr>
        <w:t>ısrarla durdukları</w:t>
      </w:r>
      <w:r w:rsidRPr="008D6123">
        <w:rPr>
          <w:rFonts w:ascii="Arial" w:hAnsi="Arial" w:cs="Arial"/>
        </w:rPr>
        <w:t xml:space="preserve"> bir diğer temel konu</w:t>
      </w:r>
      <w:r w:rsidR="00FF7E52">
        <w:rPr>
          <w:rFonts w:ascii="Arial" w:hAnsi="Arial" w:cs="Arial"/>
        </w:rPr>
        <w:t>nun</w:t>
      </w:r>
      <w:r w:rsidRPr="008D6123">
        <w:rPr>
          <w:rFonts w:ascii="Arial" w:hAnsi="Arial" w:cs="Arial"/>
        </w:rPr>
        <w:t xml:space="preserve"> </w:t>
      </w:r>
      <w:r w:rsidR="00E76301" w:rsidRPr="004C3BED">
        <w:rPr>
          <w:rFonts w:ascii="Arial" w:hAnsi="Arial" w:cs="Arial"/>
        </w:rPr>
        <w:t>ise dirençli yapılaşma ol</w:t>
      </w:r>
      <w:r w:rsidR="00E76301">
        <w:rPr>
          <w:rFonts w:ascii="Arial" w:hAnsi="Arial" w:cs="Arial"/>
        </w:rPr>
        <w:t>duğunu ifade eden THBB Başkanı Yavuz Işık, “</w:t>
      </w:r>
      <w:r w:rsidRPr="008D6123">
        <w:rPr>
          <w:rFonts w:ascii="Arial" w:hAnsi="Arial" w:cs="Arial"/>
        </w:rPr>
        <w:t>Ülkemizin deprem gerçeği karşısında güvenli ve uzun ömürlü yapı üretimi artık vazgeçilmez bir zorunluluktur. Türkiye Hazır Beton Birliği olarak uzun yıllardır standartlara uygun, kalite güvenceli hazır beton kullanımının yaygınlaştırılması için çalışıyoruz ancak biliyoruz ki güvenli yapılar yalnızca kaliteli beton üretimiyle değil; doğru tasarım, doğru denetim, doğru uygulama ve nitelikli işçilikle birlikte mümkündür. Bu nedenle kentsel dönüşümün hızlanması, riskli yapı stokunun ivedilikle yenilenmesi, yapı denetim süreçlerinin etkinleştirilmesi ve kamuoyunun teknik açıdan doğru bilgilendirilmesi yönündeki çalışmalarımızı 2025 yılında da kararlılıkla sürdürdük. Hazır betonla ilgili bilgi eksikliğinden kaynaklanan dezenformasyonla mücadele etmek, Birliğimizin kamu yararı açısından üstlendiği önemli bir sorumluluktur.</w:t>
      </w:r>
      <w:r w:rsidR="00E76301">
        <w:rPr>
          <w:rFonts w:ascii="Arial" w:hAnsi="Arial" w:cs="Arial"/>
        </w:rPr>
        <w:t>” dedi.</w:t>
      </w:r>
    </w:p>
    <w:p w14:paraId="10D285DA" w14:textId="6274E4C1" w:rsidR="00DF0032" w:rsidRPr="00DF0032" w:rsidRDefault="00FC4DD5" w:rsidP="00DF0032">
      <w:pPr>
        <w:spacing w:line="240" w:lineRule="auto"/>
        <w:jc w:val="both"/>
        <w:rPr>
          <w:rFonts w:ascii="Arial" w:hAnsi="Arial" w:cs="Arial"/>
          <w:b/>
        </w:rPr>
      </w:pPr>
      <w:r>
        <w:rPr>
          <w:rFonts w:ascii="Arial" w:hAnsi="Arial" w:cs="Arial"/>
          <w:b/>
        </w:rPr>
        <w:t>Sürdürülebilirlik Çalışmalarımızla Sektöre Öncülük Ediyoruz</w:t>
      </w:r>
    </w:p>
    <w:p w14:paraId="137B8660" w14:textId="77B1CF68" w:rsidR="00DF0032" w:rsidRPr="008D6123" w:rsidRDefault="00DF0032" w:rsidP="00DF0032">
      <w:pPr>
        <w:spacing w:line="240" w:lineRule="auto"/>
        <w:jc w:val="both"/>
        <w:rPr>
          <w:rFonts w:ascii="Arial" w:hAnsi="Arial" w:cs="Arial"/>
        </w:rPr>
      </w:pPr>
      <w:r w:rsidRPr="008D6123">
        <w:rPr>
          <w:rFonts w:ascii="Arial" w:hAnsi="Arial" w:cs="Arial"/>
        </w:rPr>
        <w:t>Sürdürülebilirlik alanında 2025 yılınd</w:t>
      </w:r>
      <w:r w:rsidR="00E76301" w:rsidRPr="004C3BED">
        <w:rPr>
          <w:rFonts w:ascii="Arial" w:hAnsi="Arial" w:cs="Arial"/>
        </w:rPr>
        <w:t>a önemli gelişmeler kaydedildi</w:t>
      </w:r>
      <w:r w:rsidR="00E76301">
        <w:rPr>
          <w:rFonts w:ascii="Arial" w:hAnsi="Arial" w:cs="Arial"/>
        </w:rPr>
        <w:t>ğine dikkat çeken THBB Başkanı Yavuz Işık,</w:t>
      </w:r>
      <w:r w:rsidR="00A16057" w:rsidRPr="008D6123">
        <w:rPr>
          <w:rFonts w:ascii="Arial" w:hAnsi="Arial" w:cs="Arial"/>
        </w:rPr>
        <w:t xml:space="preserve"> </w:t>
      </w:r>
      <w:r w:rsidR="00E76301">
        <w:rPr>
          <w:rFonts w:ascii="Arial" w:hAnsi="Arial" w:cs="Arial"/>
        </w:rPr>
        <w:t>“</w:t>
      </w:r>
      <w:r w:rsidR="007E4BF3" w:rsidRPr="007E4BF3">
        <w:rPr>
          <w:rFonts w:ascii="Arial" w:hAnsi="Arial" w:cs="Arial"/>
        </w:rPr>
        <w:t>Beton Sürdürülebilirlik Konseyi (CSC) kapsamında ülkemizde yıl sonu itibarıyla toplam 26 tesisin belgeli hâle gelmesi; sektörümüzde çevresel, sosyal ve yönetişim temelli dönüşümün giderek daha somut bir zemine oturduğunu göstermektedir. Kaynakların sorumlu kullanımı, şeffaflık, izlenebilirlik ve sürdürülebilir üretim anlayışının daha da yaygınlaşmasını sektörümüz adına güçlü bir kazanım olarak değerlendiriyoruz.</w:t>
      </w:r>
      <w:r w:rsidR="007E4BF3">
        <w:rPr>
          <w:rFonts w:ascii="Arial" w:hAnsi="Arial" w:cs="Arial"/>
        </w:rPr>
        <w:t>” dedi.</w:t>
      </w:r>
    </w:p>
    <w:p w14:paraId="71368154" w14:textId="42E99021" w:rsidR="00DF0032" w:rsidRPr="00DF0032" w:rsidRDefault="00A1716B" w:rsidP="00DF0032">
      <w:pPr>
        <w:spacing w:line="240" w:lineRule="auto"/>
        <w:jc w:val="both"/>
        <w:rPr>
          <w:rFonts w:ascii="Arial" w:hAnsi="Arial" w:cs="Arial"/>
          <w:b/>
        </w:rPr>
      </w:pPr>
      <w:r>
        <w:rPr>
          <w:rFonts w:ascii="Arial" w:hAnsi="Arial" w:cs="Arial"/>
          <w:b/>
        </w:rPr>
        <w:t>Sektörlerimizi Yeniden</w:t>
      </w:r>
      <w:r w:rsidR="00FC4DD5">
        <w:rPr>
          <w:rFonts w:ascii="Arial" w:hAnsi="Arial" w:cs="Arial"/>
          <w:b/>
        </w:rPr>
        <w:t xml:space="preserve"> Bir Araya Getirmek İçin Çalışmalara Başladık</w:t>
      </w:r>
    </w:p>
    <w:p w14:paraId="187C6D00" w14:textId="2B9D7AA3" w:rsidR="00DF0032" w:rsidRPr="008D6123" w:rsidRDefault="00DF0032" w:rsidP="00DF0032">
      <w:pPr>
        <w:spacing w:line="240" w:lineRule="auto"/>
        <w:jc w:val="both"/>
        <w:rPr>
          <w:rFonts w:ascii="Arial" w:hAnsi="Arial" w:cs="Arial"/>
        </w:rPr>
      </w:pPr>
      <w:r w:rsidRPr="008D6123">
        <w:rPr>
          <w:rFonts w:ascii="Arial" w:hAnsi="Arial" w:cs="Arial"/>
        </w:rPr>
        <w:t>Sektörün en kapsamlı buluşmalarından biri olan BETON 2025 Hazır Beton, Çimento, Agrega, İnşaat Teknolojileri v</w:t>
      </w:r>
      <w:r w:rsidR="00FC4DD5" w:rsidRPr="004C3BED">
        <w:rPr>
          <w:rFonts w:ascii="Arial" w:hAnsi="Arial" w:cs="Arial"/>
        </w:rPr>
        <w:t>e Ekipmanları Fuarı ve Zirvesi</w:t>
      </w:r>
      <w:r w:rsidR="00FC4DD5">
        <w:rPr>
          <w:rFonts w:ascii="Arial" w:hAnsi="Arial" w:cs="Arial"/>
        </w:rPr>
        <w:t xml:space="preserve"> ile </w:t>
      </w:r>
      <w:r w:rsidR="007E4BF3" w:rsidRPr="004C3BED">
        <w:rPr>
          <w:rFonts w:ascii="Arial" w:hAnsi="Arial" w:cs="Arial"/>
        </w:rPr>
        <w:t>100’ün üzerinde firma</w:t>
      </w:r>
      <w:r w:rsidR="007E4BF3">
        <w:rPr>
          <w:rFonts w:ascii="Arial" w:hAnsi="Arial" w:cs="Arial"/>
        </w:rPr>
        <w:t xml:space="preserve">yı, </w:t>
      </w:r>
      <w:r w:rsidR="007E4BF3" w:rsidRPr="004C3BED">
        <w:rPr>
          <w:rFonts w:ascii="Arial" w:hAnsi="Arial" w:cs="Arial"/>
        </w:rPr>
        <w:t>15 bini aşkın ziyaretç</w:t>
      </w:r>
      <w:r w:rsidR="007E4BF3">
        <w:rPr>
          <w:rFonts w:ascii="Arial" w:hAnsi="Arial" w:cs="Arial"/>
        </w:rPr>
        <w:t xml:space="preserve">iyi ve </w:t>
      </w:r>
      <w:r w:rsidRPr="008D6123">
        <w:rPr>
          <w:rFonts w:ascii="Arial" w:hAnsi="Arial" w:cs="Arial"/>
        </w:rPr>
        <w:t>71 ülkeden sektör</w:t>
      </w:r>
      <w:r w:rsidR="00FC4DD5" w:rsidRPr="004C3BED">
        <w:rPr>
          <w:rFonts w:ascii="Arial" w:hAnsi="Arial" w:cs="Arial"/>
        </w:rPr>
        <w:t xml:space="preserve"> temsilcisini bir araya getirdi</w:t>
      </w:r>
      <w:r w:rsidR="00FC4DD5">
        <w:rPr>
          <w:rFonts w:ascii="Arial" w:hAnsi="Arial" w:cs="Arial"/>
        </w:rPr>
        <w:t>klerini ifade eden THBB Başkanı Yavuz Işık, “</w:t>
      </w:r>
      <w:r w:rsidR="00FC4DD5" w:rsidRPr="00FC4DD5">
        <w:rPr>
          <w:rFonts w:ascii="Arial" w:hAnsi="Arial" w:cs="Arial"/>
        </w:rPr>
        <w:t>2025 yılın</w:t>
      </w:r>
      <w:r w:rsidR="00FC4DD5">
        <w:rPr>
          <w:rFonts w:ascii="Arial" w:hAnsi="Arial" w:cs="Arial"/>
        </w:rPr>
        <w:t>da başarıyla gerçekleştirdiğimiz</w:t>
      </w:r>
      <w:r w:rsidR="00FC4DD5" w:rsidRPr="00FC4DD5">
        <w:rPr>
          <w:rFonts w:ascii="Arial" w:hAnsi="Arial" w:cs="Arial"/>
        </w:rPr>
        <w:t xml:space="preserve"> BETON Fuarı ve Zirvesi’nin ardından,</w:t>
      </w:r>
      <w:r w:rsidR="00FC4DD5">
        <w:rPr>
          <w:rFonts w:ascii="Arial" w:hAnsi="Arial" w:cs="Arial"/>
        </w:rPr>
        <w:t xml:space="preserve"> sektörü bir araya getireceğimiz</w:t>
      </w:r>
      <w:r w:rsidR="00FC4DD5" w:rsidRPr="00FC4DD5">
        <w:rPr>
          <w:rFonts w:ascii="Arial" w:hAnsi="Arial" w:cs="Arial"/>
        </w:rPr>
        <w:t xml:space="preserve"> fuar ve kongre çalışmalarına yeniden başladık</w:t>
      </w:r>
      <w:r w:rsidR="00FC4DD5">
        <w:rPr>
          <w:rFonts w:ascii="Arial" w:hAnsi="Arial" w:cs="Arial"/>
        </w:rPr>
        <w:t xml:space="preserve">. BETON 2027 Fuarımızı </w:t>
      </w:r>
      <w:r w:rsidR="00FC4DD5" w:rsidRPr="00FC4DD5">
        <w:rPr>
          <w:rFonts w:ascii="Arial" w:hAnsi="Arial" w:cs="Arial"/>
        </w:rPr>
        <w:t>İstanbul Fuar Merkezi</w:t>
      </w:r>
      <w:r w:rsidR="00A1716B">
        <w:rPr>
          <w:rFonts w:ascii="Arial" w:hAnsi="Arial" w:cs="Arial"/>
        </w:rPr>
        <w:t>’</w:t>
      </w:r>
      <w:r w:rsidR="00FC4DD5" w:rsidRPr="00FC4DD5">
        <w:rPr>
          <w:rFonts w:ascii="Arial" w:hAnsi="Arial" w:cs="Arial"/>
        </w:rPr>
        <w:t>nde düzenleyeceğiz. Sektörümüzün artan ilgisi ve yoğun talep üzerine fuarımızı İstanbul Fuar Merkezi’nin daha büyük salonlarına taşıyoruz. Fuarımızda; inşaat, hazır beton, çimento ve agrega sektörlerinin en ileri teknolojilerini bir araya getireceğiz. Fuarımızla eş zamanlı olarak düzenleyeceğimiz BETON Kongresi, Birliğimizin ulusal olarak düzenlediği 7. kongresi olacak. Kongremizi akademisyenler ve araştırmacıların yanı sıra hazır beton sektörünün ve yan sanayi firmalarının temsilcileri takip edecektir.” şeklinde konuştu.</w:t>
      </w:r>
    </w:p>
    <w:p w14:paraId="3D4ED8DE" w14:textId="77777777" w:rsidR="00AB6C54" w:rsidRDefault="00AB6C54" w:rsidP="00DF0032">
      <w:pPr>
        <w:spacing w:line="240" w:lineRule="auto"/>
        <w:jc w:val="both"/>
        <w:rPr>
          <w:rFonts w:ascii="Arial" w:hAnsi="Arial" w:cs="Arial"/>
          <w:b/>
        </w:rPr>
      </w:pPr>
    </w:p>
    <w:p w14:paraId="74EC4DB0" w14:textId="275CF0D9" w:rsidR="00DF0032" w:rsidRPr="00DF0032" w:rsidRDefault="00DF0032" w:rsidP="00DF0032">
      <w:pPr>
        <w:spacing w:line="240" w:lineRule="auto"/>
        <w:jc w:val="both"/>
        <w:rPr>
          <w:rFonts w:ascii="Arial" w:hAnsi="Arial" w:cs="Arial"/>
          <w:b/>
        </w:rPr>
      </w:pPr>
      <w:r w:rsidRPr="00DF0032">
        <w:rPr>
          <w:rFonts w:ascii="Arial" w:hAnsi="Arial" w:cs="Arial"/>
          <w:b/>
        </w:rPr>
        <w:lastRenderedPageBreak/>
        <w:t>Sektör</w:t>
      </w:r>
      <w:r w:rsidR="00FC4DD5">
        <w:rPr>
          <w:rFonts w:ascii="Arial" w:hAnsi="Arial" w:cs="Arial"/>
          <w:b/>
        </w:rPr>
        <w:t>ümüzü</w:t>
      </w:r>
      <w:r w:rsidRPr="00DF0032">
        <w:rPr>
          <w:rFonts w:ascii="Arial" w:hAnsi="Arial" w:cs="Arial"/>
          <w:b/>
        </w:rPr>
        <w:t xml:space="preserve"> Geleceğe Veri</w:t>
      </w:r>
      <w:r w:rsidR="00FC4DD5">
        <w:rPr>
          <w:rFonts w:ascii="Arial" w:hAnsi="Arial" w:cs="Arial"/>
          <w:b/>
        </w:rPr>
        <w:t xml:space="preserve"> Temelli Yaklaşımla Hazırlıyoruz</w:t>
      </w:r>
    </w:p>
    <w:p w14:paraId="471C16DF" w14:textId="496A01FC" w:rsidR="00DF0032" w:rsidRPr="008D6123" w:rsidRDefault="00A16057" w:rsidP="00DF0032">
      <w:pPr>
        <w:spacing w:line="240" w:lineRule="auto"/>
        <w:jc w:val="both"/>
        <w:rPr>
          <w:rFonts w:ascii="Arial" w:hAnsi="Arial" w:cs="Arial"/>
        </w:rPr>
      </w:pPr>
      <w:r w:rsidRPr="008D6123">
        <w:rPr>
          <w:rFonts w:ascii="Arial" w:hAnsi="Arial" w:cs="Arial"/>
        </w:rPr>
        <w:t>Türkiye Hazır Beton Birliği olarak 1988 yılından bu yana ülkemizde güvenli, dayanıklı, kaliteli, çevreye duyarlı ve sürdürülebilir beton üretiminin</w:t>
      </w:r>
      <w:r w:rsidR="00FC4DD5" w:rsidRPr="004C3BED">
        <w:rPr>
          <w:rFonts w:ascii="Arial" w:hAnsi="Arial" w:cs="Arial"/>
        </w:rPr>
        <w:t xml:space="preserve"> </w:t>
      </w:r>
      <w:r w:rsidR="00FC4DD5">
        <w:rPr>
          <w:rFonts w:ascii="Arial" w:hAnsi="Arial" w:cs="Arial"/>
        </w:rPr>
        <w:t xml:space="preserve">yaygınlaşması için çalıştıklarının altını çizen </w:t>
      </w:r>
      <w:r w:rsidR="00FC4DD5" w:rsidRPr="003C79B1">
        <w:rPr>
          <w:rFonts w:ascii="Arial" w:hAnsi="Arial" w:cs="Arial"/>
        </w:rPr>
        <w:t xml:space="preserve">THBB Başkanı Yavuz Işık, </w:t>
      </w:r>
      <w:r w:rsidR="00FC4DD5">
        <w:rPr>
          <w:rFonts w:ascii="Arial" w:hAnsi="Arial" w:cs="Arial"/>
        </w:rPr>
        <w:t>“</w:t>
      </w:r>
      <w:r w:rsidRPr="008D6123">
        <w:rPr>
          <w:rFonts w:ascii="Arial" w:hAnsi="Arial" w:cs="Arial"/>
        </w:rPr>
        <w:t>2025 Yılı Hazır Beton Sektör Raporu; ekonomiden inşaat sektörüne, tedarik zincirinden çevresel performansa, bölgesel analizlerden sektör vizyonuna kadar geniş bir çerçevede, veriye dayalı değerlendirmeler ışığında gelecek perspektifi sunmaktadır. Düşük karbonlu üretim, dijitalleşme, kaynak verimliliği, kalite güvencesi, dirençli yapılaşma ve insan kaynağının geliştirilmesi başta olmak üzere sektörümüzün geleceğini belirleyecek bütün başlıklarda çalışmaya devam edecek; daha güvenli şehirler, daha rekabetçi işletmeler ve daha sürdürülebilir bir yapılaşma kültürü için tüm paydaşlarımızla birlikte kararlılıkla yol alacağız.” dedi.</w:t>
      </w:r>
    </w:p>
    <w:p w14:paraId="38904482" w14:textId="46496547" w:rsidR="004C3BED" w:rsidRPr="00137CFD" w:rsidRDefault="00971D5B" w:rsidP="004C3BED">
      <w:pPr>
        <w:spacing w:line="240" w:lineRule="auto"/>
        <w:jc w:val="both"/>
        <w:rPr>
          <w:rFonts w:ascii="Arial" w:hAnsi="Arial" w:cs="Arial"/>
        </w:rPr>
      </w:pPr>
      <w:r>
        <w:rPr>
          <w:rFonts w:ascii="Arial" w:hAnsi="Arial" w:cs="Arial"/>
        </w:rPr>
        <w:t>202</w:t>
      </w:r>
      <w:r w:rsidR="00DF0032">
        <w:rPr>
          <w:rFonts w:ascii="Arial" w:hAnsi="Arial" w:cs="Arial"/>
        </w:rPr>
        <w:t>5</w:t>
      </w:r>
      <w:r w:rsidR="00B10F1B" w:rsidRPr="00BE0AD0">
        <w:rPr>
          <w:rFonts w:ascii="Arial" w:hAnsi="Arial" w:cs="Arial"/>
        </w:rPr>
        <w:t xml:space="preserve"> Yılı Hazır Beton Sektör Raporu’na Türkiye Hazır Beton Birliği</w:t>
      </w:r>
      <w:r w:rsidR="004C3BED" w:rsidRPr="004C3BED">
        <w:rPr>
          <w:rFonts w:ascii="Arial" w:hAnsi="Arial" w:cs="Arial"/>
        </w:rPr>
        <w:t xml:space="preserve"> </w:t>
      </w:r>
      <w:r w:rsidR="004C3BED" w:rsidRPr="00BE0AD0">
        <w:rPr>
          <w:rFonts w:ascii="Arial" w:hAnsi="Arial" w:cs="Arial"/>
        </w:rPr>
        <w:t>web sitesinden ulaşabilirsiniz.</w:t>
      </w:r>
    </w:p>
    <w:p w14:paraId="7D36EB8D" w14:textId="1798B5E7" w:rsidR="008D6123" w:rsidRDefault="003A4D83" w:rsidP="00BC1E27">
      <w:pPr>
        <w:jc w:val="both"/>
        <w:rPr>
          <w:rFonts w:ascii="Arial" w:hAnsi="Arial" w:cs="Arial"/>
        </w:rPr>
      </w:pPr>
      <w:hyperlink r:id="rId12" w:history="1">
        <w:r w:rsidR="008D6123" w:rsidRPr="00B24ACE">
          <w:rPr>
            <w:rStyle w:val="Kpr"/>
            <w:rFonts w:ascii="Arial" w:hAnsi="Arial" w:cs="Arial"/>
          </w:rPr>
          <w:t>https://www.thbb.org/sektor/hazir-beton-sektor-raporu/</w:t>
        </w:r>
      </w:hyperlink>
    </w:p>
    <w:p w14:paraId="270DED27" w14:textId="3EF784EC" w:rsidR="00BC1E27" w:rsidRPr="0022066D" w:rsidRDefault="00BC1E27" w:rsidP="00BC1E27">
      <w:pPr>
        <w:jc w:val="both"/>
        <w:rPr>
          <w:rFonts w:ascii="Arial" w:hAnsi="Arial" w:cs="Arial"/>
          <w:b/>
          <w:bCs/>
          <w:sz w:val="16"/>
          <w:szCs w:val="16"/>
          <w:u w:val="single"/>
        </w:rPr>
      </w:pPr>
      <w:r w:rsidRPr="0022066D">
        <w:rPr>
          <w:rFonts w:ascii="Arial" w:hAnsi="Arial" w:cs="Arial"/>
          <w:b/>
          <w:bCs/>
          <w:sz w:val="16"/>
          <w:szCs w:val="16"/>
          <w:u w:val="single"/>
        </w:rPr>
        <w:t>Türkiye Hazır Beton Birliği hakkında</w:t>
      </w:r>
    </w:p>
    <w:p w14:paraId="5C4FAA30" w14:textId="77777777" w:rsidR="00BC1E27" w:rsidRPr="0022066D" w:rsidRDefault="00BC1E27" w:rsidP="00BC1E27">
      <w:pPr>
        <w:jc w:val="both"/>
        <w:rPr>
          <w:rFonts w:ascii="Arial" w:hAnsi="Arial" w:cs="Arial"/>
          <w:b/>
          <w:bCs/>
          <w:color w:val="0070C0"/>
          <w:sz w:val="16"/>
          <w:szCs w:val="16"/>
        </w:rPr>
      </w:pPr>
      <w:r w:rsidRPr="0022066D">
        <w:rPr>
          <w:rFonts w:ascii="Arial" w:hAnsi="Arial" w:cs="Arial"/>
          <w:bCs/>
          <w:sz w:val="16"/>
          <w:szCs w:val="16"/>
        </w:rPr>
        <w:t>Türkiye Hazır Beton Birliği (THBB), 1988 yılından beri güvenli ve dayanıklı yapıların inşası amacıyla standartlara uygun beton üretilmesi, tekniğine uygun beton uygulamalarının yaygınlaşması ve ülkemizde kaliteli, dayanıklı, yüksek dayanım sınıflarında beton kullanılması için uğraş veren mesleki bir kuruluştur. THBB, Avrupa Hazır Beton Birliği (ERMCO) ve Beton Sürdürülebilirlik Konseyi (</w:t>
      </w:r>
      <w:proofErr w:type="spellStart"/>
      <w:r w:rsidR="00794514" w:rsidRPr="0022066D">
        <w:rPr>
          <w:rFonts w:ascii="Arial" w:hAnsi="Arial" w:cs="Arial"/>
          <w:bCs/>
          <w:sz w:val="16"/>
          <w:szCs w:val="16"/>
        </w:rPr>
        <w:t>The</w:t>
      </w:r>
      <w:proofErr w:type="spellEnd"/>
      <w:r w:rsidR="00794514" w:rsidRPr="0022066D">
        <w:rPr>
          <w:rFonts w:ascii="Arial" w:hAnsi="Arial" w:cs="Arial"/>
          <w:bCs/>
          <w:sz w:val="16"/>
          <w:szCs w:val="16"/>
        </w:rPr>
        <w:t xml:space="preserve"> </w:t>
      </w:r>
      <w:proofErr w:type="spellStart"/>
      <w:r w:rsidRPr="0022066D">
        <w:rPr>
          <w:rFonts w:ascii="Arial" w:hAnsi="Arial" w:cs="Arial"/>
          <w:bCs/>
          <w:sz w:val="16"/>
          <w:szCs w:val="16"/>
        </w:rPr>
        <w:t>Concrete</w:t>
      </w:r>
      <w:proofErr w:type="spellEnd"/>
      <w:r w:rsidRPr="0022066D">
        <w:rPr>
          <w:rFonts w:ascii="Arial" w:hAnsi="Arial" w:cs="Arial"/>
          <w:bCs/>
          <w:sz w:val="16"/>
          <w:szCs w:val="16"/>
        </w:rPr>
        <w:t xml:space="preserve"> </w:t>
      </w:r>
      <w:proofErr w:type="spellStart"/>
      <w:r w:rsidRPr="0022066D">
        <w:rPr>
          <w:rFonts w:ascii="Arial" w:hAnsi="Arial" w:cs="Arial"/>
          <w:bCs/>
          <w:sz w:val="16"/>
          <w:szCs w:val="16"/>
        </w:rPr>
        <w:t>Sustainability</w:t>
      </w:r>
      <w:proofErr w:type="spellEnd"/>
      <w:r w:rsidRPr="0022066D">
        <w:rPr>
          <w:rFonts w:ascii="Arial" w:hAnsi="Arial" w:cs="Arial"/>
          <w:bCs/>
          <w:sz w:val="16"/>
          <w:szCs w:val="16"/>
        </w:rPr>
        <w:t xml:space="preserve"> </w:t>
      </w:r>
      <w:proofErr w:type="spellStart"/>
      <w:r w:rsidRPr="0022066D">
        <w:rPr>
          <w:rFonts w:ascii="Arial" w:hAnsi="Arial" w:cs="Arial"/>
          <w:bCs/>
          <w:sz w:val="16"/>
          <w:szCs w:val="16"/>
        </w:rPr>
        <w:t>Council</w:t>
      </w:r>
      <w:proofErr w:type="spellEnd"/>
      <w:r w:rsidRPr="0022066D">
        <w:rPr>
          <w:rFonts w:ascii="Arial" w:hAnsi="Arial" w:cs="Arial"/>
          <w:bCs/>
          <w:sz w:val="16"/>
          <w:szCs w:val="16"/>
        </w:rPr>
        <w:t xml:space="preserve">) üyesi; Beton Sürdürülebilirlik Konseyi “Bölgesel Sistem </w:t>
      </w:r>
      <w:proofErr w:type="spellStart"/>
      <w:r w:rsidRPr="0022066D">
        <w:rPr>
          <w:rFonts w:ascii="Arial" w:hAnsi="Arial" w:cs="Arial"/>
          <w:bCs/>
          <w:sz w:val="16"/>
          <w:szCs w:val="16"/>
        </w:rPr>
        <w:t>Operatörü”dür</w:t>
      </w:r>
      <w:proofErr w:type="spellEnd"/>
      <w:r w:rsidRPr="0022066D">
        <w:rPr>
          <w:rFonts w:ascii="Arial" w:hAnsi="Arial" w:cs="Arial"/>
          <w:bCs/>
          <w:sz w:val="16"/>
          <w:szCs w:val="16"/>
        </w:rPr>
        <w:t xml:space="preserve">. </w:t>
      </w:r>
      <w:proofErr w:type="spellStart"/>
      <w:r w:rsidRPr="0022066D">
        <w:rPr>
          <w:rFonts w:ascii="Arial" w:hAnsi="Arial" w:cs="Arial"/>
          <w:bCs/>
          <w:sz w:val="16"/>
          <w:szCs w:val="16"/>
        </w:rPr>
        <w:t>THBB’ye</w:t>
      </w:r>
      <w:proofErr w:type="spellEnd"/>
      <w:r w:rsidRPr="0022066D">
        <w:rPr>
          <w:rFonts w:ascii="Arial" w:hAnsi="Arial" w:cs="Arial"/>
          <w:bCs/>
          <w:sz w:val="16"/>
          <w:szCs w:val="16"/>
        </w:rPr>
        <w:t xml:space="preserve"> üye olacak şirketlerin bütün hazır beton tesislerinde standartlara uygun üretim yapması, THBB Kalite Güvence Sisteminin (KGS) sürekli habersiz denetimlerine tabi olarak KGS Uygunluk Belgesi alması, uygun laboratuvar bulundurması, teknik, çevre, iş sağlığı ve güvenliği, yasal ve etik kriterleri eksiksiz yerine getirmesi zorunludur.</w:t>
      </w:r>
    </w:p>
    <w:p w14:paraId="7740D60A" w14:textId="77777777" w:rsidR="00BC1E27" w:rsidRPr="0022066D" w:rsidRDefault="003A4D83" w:rsidP="00BC1E27">
      <w:pPr>
        <w:pStyle w:val="AralkYok1"/>
        <w:spacing w:line="276" w:lineRule="auto"/>
        <w:contextualSpacing/>
        <w:rPr>
          <w:rFonts w:ascii="Arial" w:eastAsia="Times New Roman" w:hAnsi="Arial" w:cs="Arial"/>
          <w:b/>
          <w:bCs/>
          <w:sz w:val="16"/>
          <w:szCs w:val="16"/>
        </w:rPr>
      </w:pPr>
      <w:hyperlink r:id="rId13" w:history="1">
        <w:r w:rsidR="00BC1E27" w:rsidRPr="0022066D">
          <w:rPr>
            <w:rStyle w:val="Kpr"/>
            <w:rFonts w:ascii="Arial" w:eastAsia="Times New Roman" w:hAnsi="Arial" w:cs="Arial"/>
            <w:b/>
            <w:bCs/>
            <w:sz w:val="16"/>
            <w:szCs w:val="16"/>
          </w:rPr>
          <w:t>Basın bültenlerimizi indirmek için buraya tıklayınız…</w:t>
        </w:r>
      </w:hyperlink>
    </w:p>
    <w:p w14:paraId="0D603F56" w14:textId="77777777" w:rsidR="00BC1E27" w:rsidRPr="0022066D" w:rsidRDefault="00BC1E27" w:rsidP="00BC1E27">
      <w:pPr>
        <w:pStyle w:val="AralkYok1"/>
        <w:spacing w:line="276" w:lineRule="auto"/>
        <w:contextualSpacing/>
        <w:rPr>
          <w:rFonts w:ascii="Arial" w:hAnsi="Arial" w:cs="Arial"/>
          <w:b/>
          <w:sz w:val="16"/>
          <w:szCs w:val="16"/>
          <w:u w:val="single"/>
        </w:rPr>
      </w:pPr>
    </w:p>
    <w:p w14:paraId="406A89E7" w14:textId="77777777" w:rsidR="0088690A" w:rsidRDefault="00BC1E27" w:rsidP="00BC1E27">
      <w:pPr>
        <w:pStyle w:val="AralkYok1"/>
        <w:spacing w:line="276" w:lineRule="auto"/>
        <w:contextualSpacing/>
        <w:rPr>
          <w:rFonts w:ascii="Arial" w:hAnsi="Arial" w:cs="Arial"/>
          <w:b/>
          <w:sz w:val="16"/>
          <w:szCs w:val="16"/>
        </w:rPr>
      </w:pPr>
      <w:r w:rsidRPr="0022066D">
        <w:rPr>
          <w:rFonts w:ascii="Arial" w:hAnsi="Arial" w:cs="Arial"/>
          <w:b/>
          <w:sz w:val="16"/>
          <w:szCs w:val="16"/>
          <w:u w:val="single"/>
        </w:rPr>
        <w:t>Bilgi için:</w:t>
      </w:r>
      <w:r w:rsidRPr="0022066D">
        <w:rPr>
          <w:rFonts w:ascii="Arial" w:hAnsi="Arial" w:cs="Arial"/>
          <w:b/>
          <w:sz w:val="16"/>
          <w:szCs w:val="16"/>
          <w:u w:val="single"/>
        </w:rPr>
        <w:br/>
      </w:r>
      <w:r w:rsidR="0088690A">
        <w:rPr>
          <w:rFonts w:ascii="Arial" w:hAnsi="Arial" w:cs="Arial"/>
          <w:b/>
          <w:sz w:val="16"/>
          <w:szCs w:val="16"/>
        </w:rPr>
        <w:t>Türkiye Hazır Beton Birliği</w:t>
      </w:r>
    </w:p>
    <w:p w14:paraId="52393D95" w14:textId="77777777" w:rsidR="00BC1E27" w:rsidRPr="0022066D" w:rsidRDefault="00BC1E27" w:rsidP="00BC1E27">
      <w:pPr>
        <w:pStyle w:val="AralkYok1"/>
        <w:spacing w:line="276" w:lineRule="auto"/>
        <w:contextualSpacing/>
        <w:rPr>
          <w:rFonts w:ascii="Arial" w:hAnsi="Arial" w:cs="Arial"/>
          <w:sz w:val="16"/>
          <w:szCs w:val="16"/>
        </w:rPr>
      </w:pPr>
      <w:r w:rsidRPr="0022066D">
        <w:rPr>
          <w:rFonts w:ascii="Arial" w:hAnsi="Arial" w:cs="Arial"/>
          <w:b/>
          <w:sz w:val="16"/>
          <w:szCs w:val="16"/>
        </w:rPr>
        <w:t>Kurumsal İletişim</w:t>
      </w:r>
      <w:r w:rsidRPr="0022066D">
        <w:rPr>
          <w:rFonts w:ascii="Arial" w:hAnsi="Arial" w:cs="Arial"/>
          <w:b/>
          <w:sz w:val="16"/>
          <w:szCs w:val="16"/>
        </w:rPr>
        <w:br/>
      </w:r>
      <w:r w:rsidRPr="0022066D">
        <w:rPr>
          <w:rFonts w:ascii="Arial" w:hAnsi="Arial" w:cs="Arial"/>
          <w:sz w:val="16"/>
          <w:szCs w:val="16"/>
        </w:rPr>
        <w:t>Hakan Zengin / 0216 322 96 70 / hakan.zengin@thbb.org</w:t>
      </w:r>
    </w:p>
    <w:p w14:paraId="78FC4EB9" w14:textId="77777777" w:rsidR="00BC1E27" w:rsidRPr="0022066D" w:rsidRDefault="00901A42" w:rsidP="00BC1E27">
      <w:pPr>
        <w:pStyle w:val="AralkYok1"/>
        <w:spacing w:line="276" w:lineRule="auto"/>
        <w:contextualSpacing/>
        <w:rPr>
          <w:rFonts w:ascii="Arial" w:hAnsi="Arial" w:cs="Arial"/>
          <w:sz w:val="16"/>
          <w:szCs w:val="16"/>
        </w:rPr>
      </w:pPr>
      <w:r>
        <w:rPr>
          <w:rFonts w:ascii="Arial" w:hAnsi="Arial" w:cs="Arial"/>
          <w:sz w:val="16"/>
          <w:szCs w:val="16"/>
        </w:rPr>
        <w:t>Pınar Taşkın</w:t>
      </w:r>
      <w:r w:rsidR="00BC1E27" w:rsidRPr="0022066D">
        <w:rPr>
          <w:rFonts w:ascii="Arial" w:hAnsi="Arial" w:cs="Arial"/>
          <w:sz w:val="16"/>
          <w:szCs w:val="16"/>
        </w:rPr>
        <w:t xml:space="preserve"> / 0216 322 96 70 / </w:t>
      </w:r>
      <w:r>
        <w:rPr>
          <w:rFonts w:ascii="Arial" w:hAnsi="Arial" w:cs="Arial"/>
          <w:sz w:val="16"/>
          <w:szCs w:val="16"/>
        </w:rPr>
        <w:t>pinar.taskin</w:t>
      </w:r>
      <w:r w:rsidR="008E2225" w:rsidRPr="0022066D">
        <w:rPr>
          <w:rFonts w:ascii="Arial" w:hAnsi="Arial" w:cs="Arial"/>
          <w:sz w:val="16"/>
          <w:szCs w:val="16"/>
        </w:rPr>
        <w:t>@thbb.org</w:t>
      </w:r>
    </w:p>
    <w:sectPr w:rsidR="00BC1E27" w:rsidRPr="0022066D" w:rsidSect="00AB6C54">
      <w:footerReference w:type="default" r:id="rId14"/>
      <w:pgSz w:w="11906" w:h="16838"/>
      <w:pgMar w:top="426"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32028" w14:textId="77777777" w:rsidR="003A4D83" w:rsidRDefault="003A4D83" w:rsidP="00F86E2A">
      <w:pPr>
        <w:spacing w:after="0" w:line="240" w:lineRule="auto"/>
      </w:pPr>
      <w:r>
        <w:separator/>
      </w:r>
    </w:p>
  </w:endnote>
  <w:endnote w:type="continuationSeparator" w:id="0">
    <w:p w14:paraId="548EE136" w14:textId="77777777" w:rsidR="003A4D83" w:rsidRDefault="003A4D83" w:rsidP="00F86E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3794816"/>
      <w:docPartObj>
        <w:docPartGallery w:val="Page Numbers (Bottom of Page)"/>
        <w:docPartUnique/>
      </w:docPartObj>
    </w:sdtPr>
    <w:sdtEndPr/>
    <w:sdtContent>
      <w:p w14:paraId="03329A91" w14:textId="589E9A95" w:rsidR="00AB6C54" w:rsidRDefault="00AB6C54">
        <w:pPr>
          <w:pStyle w:val="AltBilgi"/>
          <w:jc w:val="right"/>
        </w:pPr>
        <w:r>
          <w:t>-</w:t>
        </w:r>
        <w:r w:rsidRPr="00AB6C54">
          <w:rPr>
            <w:i/>
          </w:rPr>
          <w:fldChar w:fldCharType="begin"/>
        </w:r>
        <w:r w:rsidRPr="00AB6C54">
          <w:rPr>
            <w:i/>
          </w:rPr>
          <w:instrText>PAGE   \* MERGEFORMAT</w:instrText>
        </w:r>
        <w:r w:rsidRPr="00AB6C54">
          <w:rPr>
            <w:i/>
          </w:rPr>
          <w:fldChar w:fldCharType="separate"/>
        </w:r>
        <w:r w:rsidR="00ED4570">
          <w:rPr>
            <w:i/>
            <w:noProof/>
          </w:rPr>
          <w:t>2</w:t>
        </w:r>
        <w:r w:rsidRPr="00AB6C54">
          <w:rPr>
            <w:i/>
          </w:rPr>
          <w:fldChar w:fldCharType="end"/>
        </w:r>
        <w:r>
          <w:rPr>
            <w:i/>
          </w:rPr>
          <w:t>-</w:t>
        </w:r>
      </w:p>
    </w:sdtContent>
  </w:sdt>
  <w:p w14:paraId="7FCDBAE5" w14:textId="77777777" w:rsidR="00AB6C54" w:rsidRDefault="00AB6C54">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EF496" w14:textId="77777777" w:rsidR="003A4D83" w:rsidRDefault="003A4D83" w:rsidP="00F86E2A">
      <w:pPr>
        <w:spacing w:after="0" w:line="240" w:lineRule="auto"/>
      </w:pPr>
      <w:r>
        <w:separator/>
      </w:r>
    </w:p>
  </w:footnote>
  <w:footnote w:type="continuationSeparator" w:id="0">
    <w:p w14:paraId="07EA2618" w14:textId="77777777" w:rsidR="003A4D83" w:rsidRDefault="003A4D83" w:rsidP="00F86E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097DC0"/>
    <w:multiLevelType w:val="hybridMultilevel"/>
    <w:tmpl w:val="2AF41B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C1E27"/>
    <w:rsid w:val="00003A79"/>
    <w:rsid w:val="0000406C"/>
    <w:rsid w:val="000142B4"/>
    <w:rsid w:val="00015216"/>
    <w:rsid w:val="000312FD"/>
    <w:rsid w:val="00042434"/>
    <w:rsid w:val="00043BC5"/>
    <w:rsid w:val="000440F9"/>
    <w:rsid w:val="0005122F"/>
    <w:rsid w:val="00053DCD"/>
    <w:rsid w:val="00055225"/>
    <w:rsid w:val="0005544A"/>
    <w:rsid w:val="00057988"/>
    <w:rsid w:val="000616F2"/>
    <w:rsid w:val="0007341A"/>
    <w:rsid w:val="00080876"/>
    <w:rsid w:val="00082EE0"/>
    <w:rsid w:val="0008589F"/>
    <w:rsid w:val="00086B82"/>
    <w:rsid w:val="000963BE"/>
    <w:rsid w:val="000A0755"/>
    <w:rsid w:val="000B2D15"/>
    <w:rsid w:val="000C3CB9"/>
    <w:rsid w:val="000C3DD0"/>
    <w:rsid w:val="000C51C7"/>
    <w:rsid w:val="000D7872"/>
    <w:rsid w:val="000E1A43"/>
    <w:rsid w:val="000E2149"/>
    <w:rsid w:val="000F5905"/>
    <w:rsid w:val="000F6ACF"/>
    <w:rsid w:val="00114134"/>
    <w:rsid w:val="001242F3"/>
    <w:rsid w:val="00131534"/>
    <w:rsid w:val="0013196A"/>
    <w:rsid w:val="00131D7F"/>
    <w:rsid w:val="00137CFD"/>
    <w:rsid w:val="001429AC"/>
    <w:rsid w:val="00153E04"/>
    <w:rsid w:val="001548D4"/>
    <w:rsid w:val="00157B37"/>
    <w:rsid w:val="00163FFE"/>
    <w:rsid w:val="001651BC"/>
    <w:rsid w:val="0017411B"/>
    <w:rsid w:val="00181AEE"/>
    <w:rsid w:val="001876AB"/>
    <w:rsid w:val="00190AFE"/>
    <w:rsid w:val="00191E0B"/>
    <w:rsid w:val="00192B83"/>
    <w:rsid w:val="001A04F2"/>
    <w:rsid w:val="001A0D5E"/>
    <w:rsid w:val="001A151A"/>
    <w:rsid w:val="001A1D26"/>
    <w:rsid w:val="001A2F57"/>
    <w:rsid w:val="001A3AC4"/>
    <w:rsid w:val="001B313E"/>
    <w:rsid w:val="001C0C14"/>
    <w:rsid w:val="001C382A"/>
    <w:rsid w:val="001C5AD9"/>
    <w:rsid w:val="001C6E0C"/>
    <w:rsid w:val="001C7EF1"/>
    <w:rsid w:val="001D0D5A"/>
    <w:rsid w:val="001E4FDD"/>
    <w:rsid w:val="001F3F1E"/>
    <w:rsid w:val="00201D43"/>
    <w:rsid w:val="00203192"/>
    <w:rsid w:val="00206C20"/>
    <w:rsid w:val="00207093"/>
    <w:rsid w:val="00214A45"/>
    <w:rsid w:val="0022066D"/>
    <w:rsid w:val="00235570"/>
    <w:rsid w:val="00247898"/>
    <w:rsid w:val="002502EA"/>
    <w:rsid w:val="00251B51"/>
    <w:rsid w:val="00255EDE"/>
    <w:rsid w:val="00261C3D"/>
    <w:rsid w:val="002646B6"/>
    <w:rsid w:val="00267903"/>
    <w:rsid w:val="002736BE"/>
    <w:rsid w:val="0027466D"/>
    <w:rsid w:val="002751EF"/>
    <w:rsid w:val="00277929"/>
    <w:rsid w:val="00281B65"/>
    <w:rsid w:val="00283547"/>
    <w:rsid w:val="00290252"/>
    <w:rsid w:val="0029406A"/>
    <w:rsid w:val="002B240D"/>
    <w:rsid w:val="002C2701"/>
    <w:rsid w:val="002C5A3D"/>
    <w:rsid w:val="002D458A"/>
    <w:rsid w:val="002D7EAE"/>
    <w:rsid w:val="002E3B21"/>
    <w:rsid w:val="002E3CC0"/>
    <w:rsid w:val="00300D53"/>
    <w:rsid w:val="0030154E"/>
    <w:rsid w:val="00304EAD"/>
    <w:rsid w:val="00305378"/>
    <w:rsid w:val="00310050"/>
    <w:rsid w:val="00312D1B"/>
    <w:rsid w:val="00315515"/>
    <w:rsid w:val="0033235C"/>
    <w:rsid w:val="00340796"/>
    <w:rsid w:val="00342F0E"/>
    <w:rsid w:val="00345D09"/>
    <w:rsid w:val="00346C4B"/>
    <w:rsid w:val="00347372"/>
    <w:rsid w:val="0035153F"/>
    <w:rsid w:val="00351CC0"/>
    <w:rsid w:val="0035243F"/>
    <w:rsid w:val="00362340"/>
    <w:rsid w:val="00371BBD"/>
    <w:rsid w:val="00384D4B"/>
    <w:rsid w:val="00390074"/>
    <w:rsid w:val="003A018C"/>
    <w:rsid w:val="003A1E54"/>
    <w:rsid w:val="003A4D83"/>
    <w:rsid w:val="003B2357"/>
    <w:rsid w:val="003B4CF0"/>
    <w:rsid w:val="003C116F"/>
    <w:rsid w:val="003C498D"/>
    <w:rsid w:val="003C60FA"/>
    <w:rsid w:val="003C745E"/>
    <w:rsid w:val="003E2CDC"/>
    <w:rsid w:val="003E3968"/>
    <w:rsid w:val="003F7653"/>
    <w:rsid w:val="0040023A"/>
    <w:rsid w:val="004033F5"/>
    <w:rsid w:val="00406D67"/>
    <w:rsid w:val="0041009F"/>
    <w:rsid w:val="00421401"/>
    <w:rsid w:val="00437F3A"/>
    <w:rsid w:val="00442AD2"/>
    <w:rsid w:val="004447D1"/>
    <w:rsid w:val="00447937"/>
    <w:rsid w:val="004506B8"/>
    <w:rsid w:val="00456C89"/>
    <w:rsid w:val="00464DD3"/>
    <w:rsid w:val="00465A17"/>
    <w:rsid w:val="0047090B"/>
    <w:rsid w:val="00470D17"/>
    <w:rsid w:val="00475A3C"/>
    <w:rsid w:val="004774E0"/>
    <w:rsid w:val="004775BD"/>
    <w:rsid w:val="00484C6A"/>
    <w:rsid w:val="00484E2F"/>
    <w:rsid w:val="00492B9D"/>
    <w:rsid w:val="004930F0"/>
    <w:rsid w:val="004A6747"/>
    <w:rsid w:val="004B40CD"/>
    <w:rsid w:val="004B61DC"/>
    <w:rsid w:val="004C0F2D"/>
    <w:rsid w:val="004C3BED"/>
    <w:rsid w:val="004C4614"/>
    <w:rsid w:val="004D3B44"/>
    <w:rsid w:val="004D58C6"/>
    <w:rsid w:val="004D66C2"/>
    <w:rsid w:val="004E016C"/>
    <w:rsid w:val="004E0C19"/>
    <w:rsid w:val="004E5763"/>
    <w:rsid w:val="004F0C96"/>
    <w:rsid w:val="004F17CF"/>
    <w:rsid w:val="004F4487"/>
    <w:rsid w:val="004F6E34"/>
    <w:rsid w:val="004F7BB7"/>
    <w:rsid w:val="00512390"/>
    <w:rsid w:val="00513CB6"/>
    <w:rsid w:val="00522236"/>
    <w:rsid w:val="00522D94"/>
    <w:rsid w:val="00523F8C"/>
    <w:rsid w:val="0052423B"/>
    <w:rsid w:val="0053108B"/>
    <w:rsid w:val="00531B78"/>
    <w:rsid w:val="005349E1"/>
    <w:rsid w:val="00541A00"/>
    <w:rsid w:val="00544A48"/>
    <w:rsid w:val="00544B37"/>
    <w:rsid w:val="00557C80"/>
    <w:rsid w:val="0056118B"/>
    <w:rsid w:val="005742E3"/>
    <w:rsid w:val="00581CA2"/>
    <w:rsid w:val="005821F5"/>
    <w:rsid w:val="005829CD"/>
    <w:rsid w:val="00585A9F"/>
    <w:rsid w:val="00585E6A"/>
    <w:rsid w:val="00594F16"/>
    <w:rsid w:val="00597510"/>
    <w:rsid w:val="005A03FE"/>
    <w:rsid w:val="005B5FE7"/>
    <w:rsid w:val="005B76F4"/>
    <w:rsid w:val="005D5DEA"/>
    <w:rsid w:val="005E017F"/>
    <w:rsid w:val="005E2647"/>
    <w:rsid w:val="005E425D"/>
    <w:rsid w:val="005F051F"/>
    <w:rsid w:val="005F058F"/>
    <w:rsid w:val="005F1B57"/>
    <w:rsid w:val="005F238F"/>
    <w:rsid w:val="005F2414"/>
    <w:rsid w:val="005F707A"/>
    <w:rsid w:val="006120FF"/>
    <w:rsid w:val="00622D7F"/>
    <w:rsid w:val="00624C49"/>
    <w:rsid w:val="00641EC7"/>
    <w:rsid w:val="0064468B"/>
    <w:rsid w:val="00654EF9"/>
    <w:rsid w:val="00656943"/>
    <w:rsid w:val="006621B4"/>
    <w:rsid w:val="00671D3F"/>
    <w:rsid w:val="00685294"/>
    <w:rsid w:val="0069088F"/>
    <w:rsid w:val="00694AFF"/>
    <w:rsid w:val="006A4FD0"/>
    <w:rsid w:val="006B2EC7"/>
    <w:rsid w:val="006C7D47"/>
    <w:rsid w:val="006D3079"/>
    <w:rsid w:val="006E0C85"/>
    <w:rsid w:val="006E3C18"/>
    <w:rsid w:val="0070239D"/>
    <w:rsid w:val="007024AD"/>
    <w:rsid w:val="00711A06"/>
    <w:rsid w:val="007129C6"/>
    <w:rsid w:val="0071547D"/>
    <w:rsid w:val="00730300"/>
    <w:rsid w:val="007355C8"/>
    <w:rsid w:val="00735947"/>
    <w:rsid w:val="00740C09"/>
    <w:rsid w:val="00743D94"/>
    <w:rsid w:val="00743DD1"/>
    <w:rsid w:val="00756C29"/>
    <w:rsid w:val="00771F72"/>
    <w:rsid w:val="00773A77"/>
    <w:rsid w:val="00776B56"/>
    <w:rsid w:val="00780978"/>
    <w:rsid w:val="00780CD4"/>
    <w:rsid w:val="007822E6"/>
    <w:rsid w:val="00794514"/>
    <w:rsid w:val="007A1CF4"/>
    <w:rsid w:val="007A6B72"/>
    <w:rsid w:val="007C073B"/>
    <w:rsid w:val="007C28A3"/>
    <w:rsid w:val="007C3ABB"/>
    <w:rsid w:val="007C5724"/>
    <w:rsid w:val="007C6E30"/>
    <w:rsid w:val="007C7D70"/>
    <w:rsid w:val="007D0B6B"/>
    <w:rsid w:val="007D2622"/>
    <w:rsid w:val="007D30B3"/>
    <w:rsid w:val="007D57FC"/>
    <w:rsid w:val="007D5DC4"/>
    <w:rsid w:val="007D7A34"/>
    <w:rsid w:val="007E0CA3"/>
    <w:rsid w:val="007E4BF3"/>
    <w:rsid w:val="007F0F7D"/>
    <w:rsid w:val="007F60DD"/>
    <w:rsid w:val="00801BF9"/>
    <w:rsid w:val="00822144"/>
    <w:rsid w:val="008229A0"/>
    <w:rsid w:val="00822F3B"/>
    <w:rsid w:val="008242D0"/>
    <w:rsid w:val="008252C9"/>
    <w:rsid w:val="008254A0"/>
    <w:rsid w:val="00831417"/>
    <w:rsid w:val="00832A66"/>
    <w:rsid w:val="00835FE6"/>
    <w:rsid w:val="008434C4"/>
    <w:rsid w:val="0084768E"/>
    <w:rsid w:val="0085008B"/>
    <w:rsid w:val="00862D18"/>
    <w:rsid w:val="00866067"/>
    <w:rsid w:val="0086724A"/>
    <w:rsid w:val="00875DBF"/>
    <w:rsid w:val="0088690A"/>
    <w:rsid w:val="00887BC4"/>
    <w:rsid w:val="008A0DC0"/>
    <w:rsid w:val="008A34A7"/>
    <w:rsid w:val="008A4176"/>
    <w:rsid w:val="008A6C37"/>
    <w:rsid w:val="008A7538"/>
    <w:rsid w:val="008B54AB"/>
    <w:rsid w:val="008B580B"/>
    <w:rsid w:val="008C49C8"/>
    <w:rsid w:val="008D28EF"/>
    <w:rsid w:val="008D403C"/>
    <w:rsid w:val="008D457E"/>
    <w:rsid w:val="008D6123"/>
    <w:rsid w:val="008E2225"/>
    <w:rsid w:val="008E4C81"/>
    <w:rsid w:val="008F2562"/>
    <w:rsid w:val="00901349"/>
    <w:rsid w:val="009015F5"/>
    <w:rsid w:val="009016C1"/>
    <w:rsid w:val="00901A42"/>
    <w:rsid w:val="00905B72"/>
    <w:rsid w:val="00912B01"/>
    <w:rsid w:val="009317B7"/>
    <w:rsid w:val="00933B0A"/>
    <w:rsid w:val="00953BD4"/>
    <w:rsid w:val="009563C2"/>
    <w:rsid w:val="00957780"/>
    <w:rsid w:val="0096630B"/>
    <w:rsid w:val="00971D5B"/>
    <w:rsid w:val="009732BE"/>
    <w:rsid w:val="00973AA8"/>
    <w:rsid w:val="00973BF5"/>
    <w:rsid w:val="00980E23"/>
    <w:rsid w:val="0098414E"/>
    <w:rsid w:val="0098415B"/>
    <w:rsid w:val="00987E28"/>
    <w:rsid w:val="00990594"/>
    <w:rsid w:val="009917C0"/>
    <w:rsid w:val="00996234"/>
    <w:rsid w:val="009A076B"/>
    <w:rsid w:val="009A3DFB"/>
    <w:rsid w:val="009B0405"/>
    <w:rsid w:val="009C3456"/>
    <w:rsid w:val="009C3EEE"/>
    <w:rsid w:val="009C483D"/>
    <w:rsid w:val="009C67F8"/>
    <w:rsid w:val="009C7F13"/>
    <w:rsid w:val="009D0F57"/>
    <w:rsid w:val="009D37C2"/>
    <w:rsid w:val="009E0EDD"/>
    <w:rsid w:val="009E282E"/>
    <w:rsid w:val="009E723D"/>
    <w:rsid w:val="009F1146"/>
    <w:rsid w:val="009F2220"/>
    <w:rsid w:val="009F281E"/>
    <w:rsid w:val="009F38F7"/>
    <w:rsid w:val="009F6830"/>
    <w:rsid w:val="009F7D5A"/>
    <w:rsid w:val="00A004B2"/>
    <w:rsid w:val="00A0398D"/>
    <w:rsid w:val="00A16057"/>
    <w:rsid w:val="00A1716B"/>
    <w:rsid w:val="00A2535B"/>
    <w:rsid w:val="00A25AAE"/>
    <w:rsid w:val="00A26039"/>
    <w:rsid w:val="00A27078"/>
    <w:rsid w:val="00A34FF5"/>
    <w:rsid w:val="00A7590B"/>
    <w:rsid w:val="00A77B8C"/>
    <w:rsid w:val="00AA2AC5"/>
    <w:rsid w:val="00AB36EA"/>
    <w:rsid w:val="00AB3D6E"/>
    <w:rsid w:val="00AB4AAC"/>
    <w:rsid w:val="00AB6C54"/>
    <w:rsid w:val="00AB7B7E"/>
    <w:rsid w:val="00AC0AE3"/>
    <w:rsid w:val="00AC785B"/>
    <w:rsid w:val="00AD1601"/>
    <w:rsid w:val="00AE5E96"/>
    <w:rsid w:val="00AE60DE"/>
    <w:rsid w:val="00AF370C"/>
    <w:rsid w:val="00AF530D"/>
    <w:rsid w:val="00AF7CA7"/>
    <w:rsid w:val="00B038EF"/>
    <w:rsid w:val="00B10F1B"/>
    <w:rsid w:val="00B1218B"/>
    <w:rsid w:val="00B409E3"/>
    <w:rsid w:val="00B57758"/>
    <w:rsid w:val="00B577B4"/>
    <w:rsid w:val="00B64AD9"/>
    <w:rsid w:val="00B67316"/>
    <w:rsid w:val="00B7341F"/>
    <w:rsid w:val="00B77AB0"/>
    <w:rsid w:val="00B8581D"/>
    <w:rsid w:val="00B9372F"/>
    <w:rsid w:val="00B967B8"/>
    <w:rsid w:val="00BA155E"/>
    <w:rsid w:val="00BA3E46"/>
    <w:rsid w:val="00BB1183"/>
    <w:rsid w:val="00BB7D02"/>
    <w:rsid w:val="00BC1E27"/>
    <w:rsid w:val="00BC301A"/>
    <w:rsid w:val="00BC7B3A"/>
    <w:rsid w:val="00BD0205"/>
    <w:rsid w:val="00BD1F1C"/>
    <w:rsid w:val="00BD3FB6"/>
    <w:rsid w:val="00BE0AD0"/>
    <w:rsid w:val="00BE210F"/>
    <w:rsid w:val="00BE7219"/>
    <w:rsid w:val="00BF6CE6"/>
    <w:rsid w:val="00C004B7"/>
    <w:rsid w:val="00C0241F"/>
    <w:rsid w:val="00C10367"/>
    <w:rsid w:val="00C1293D"/>
    <w:rsid w:val="00C13EA4"/>
    <w:rsid w:val="00C20638"/>
    <w:rsid w:val="00C220CD"/>
    <w:rsid w:val="00C274B4"/>
    <w:rsid w:val="00C409D7"/>
    <w:rsid w:val="00C42874"/>
    <w:rsid w:val="00C476B5"/>
    <w:rsid w:val="00C5183E"/>
    <w:rsid w:val="00C51EA7"/>
    <w:rsid w:val="00C60717"/>
    <w:rsid w:val="00C6188A"/>
    <w:rsid w:val="00C76B1E"/>
    <w:rsid w:val="00C95E0B"/>
    <w:rsid w:val="00CB28BE"/>
    <w:rsid w:val="00CC180D"/>
    <w:rsid w:val="00CC1812"/>
    <w:rsid w:val="00CC1B13"/>
    <w:rsid w:val="00CC5877"/>
    <w:rsid w:val="00CC7130"/>
    <w:rsid w:val="00CE019D"/>
    <w:rsid w:val="00CE0685"/>
    <w:rsid w:val="00CE1472"/>
    <w:rsid w:val="00CE5093"/>
    <w:rsid w:val="00CE68F8"/>
    <w:rsid w:val="00CE72AF"/>
    <w:rsid w:val="00CF4925"/>
    <w:rsid w:val="00CF7CA9"/>
    <w:rsid w:val="00D0124D"/>
    <w:rsid w:val="00D12BFA"/>
    <w:rsid w:val="00D220A3"/>
    <w:rsid w:val="00D2400E"/>
    <w:rsid w:val="00D30D13"/>
    <w:rsid w:val="00D33571"/>
    <w:rsid w:val="00D33F60"/>
    <w:rsid w:val="00D356E3"/>
    <w:rsid w:val="00D37FC3"/>
    <w:rsid w:val="00D4029A"/>
    <w:rsid w:val="00D41D26"/>
    <w:rsid w:val="00D44B36"/>
    <w:rsid w:val="00D61097"/>
    <w:rsid w:val="00D64E76"/>
    <w:rsid w:val="00D65675"/>
    <w:rsid w:val="00D659A7"/>
    <w:rsid w:val="00D73A27"/>
    <w:rsid w:val="00D746D6"/>
    <w:rsid w:val="00D81E74"/>
    <w:rsid w:val="00D838E6"/>
    <w:rsid w:val="00D850A5"/>
    <w:rsid w:val="00D96A12"/>
    <w:rsid w:val="00DA707B"/>
    <w:rsid w:val="00DB02BA"/>
    <w:rsid w:val="00DF0032"/>
    <w:rsid w:val="00DF0938"/>
    <w:rsid w:val="00E00B13"/>
    <w:rsid w:val="00E04D2E"/>
    <w:rsid w:val="00E10DB9"/>
    <w:rsid w:val="00E12614"/>
    <w:rsid w:val="00E17880"/>
    <w:rsid w:val="00E259AB"/>
    <w:rsid w:val="00E26B64"/>
    <w:rsid w:val="00E27757"/>
    <w:rsid w:val="00E30EA2"/>
    <w:rsid w:val="00E3463C"/>
    <w:rsid w:val="00E40EC8"/>
    <w:rsid w:val="00E43579"/>
    <w:rsid w:val="00E4581E"/>
    <w:rsid w:val="00E46346"/>
    <w:rsid w:val="00E46553"/>
    <w:rsid w:val="00E52CA0"/>
    <w:rsid w:val="00E52E42"/>
    <w:rsid w:val="00E54140"/>
    <w:rsid w:val="00E63287"/>
    <w:rsid w:val="00E66909"/>
    <w:rsid w:val="00E709A2"/>
    <w:rsid w:val="00E75CB4"/>
    <w:rsid w:val="00E76301"/>
    <w:rsid w:val="00E844E3"/>
    <w:rsid w:val="00E85E89"/>
    <w:rsid w:val="00E85E8E"/>
    <w:rsid w:val="00E93217"/>
    <w:rsid w:val="00E96526"/>
    <w:rsid w:val="00E9798D"/>
    <w:rsid w:val="00EA22F2"/>
    <w:rsid w:val="00EA6C6A"/>
    <w:rsid w:val="00EB01A9"/>
    <w:rsid w:val="00EB6C02"/>
    <w:rsid w:val="00EC1E6A"/>
    <w:rsid w:val="00EC2EF1"/>
    <w:rsid w:val="00EC46B4"/>
    <w:rsid w:val="00EC5159"/>
    <w:rsid w:val="00EC5299"/>
    <w:rsid w:val="00ED0A74"/>
    <w:rsid w:val="00ED4570"/>
    <w:rsid w:val="00ED622F"/>
    <w:rsid w:val="00EE1D26"/>
    <w:rsid w:val="00EE1E2E"/>
    <w:rsid w:val="00EE746A"/>
    <w:rsid w:val="00EF0963"/>
    <w:rsid w:val="00F01B27"/>
    <w:rsid w:val="00F02D52"/>
    <w:rsid w:val="00F02E2A"/>
    <w:rsid w:val="00F060B4"/>
    <w:rsid w:val="00F06B6D"/>
    <w:rsid w:val="00F10E65"/>
    <w:rsid w:val="00F14610"/>
    <w:rsid w:val="00F3413C"/>
    <w:rsid w:val="00F401AC"/>
    <w:rsid w:val="00F44C91"/>
    <w:rsid w:val="00F46E2E"/>
    <w:rsid w:val="00F52A03"/>
    <w:rsid w:val="00F52CD6"/>
    <w:rsid w:val="00F57689"/>
    <w:rsid w:val="00F60CC3"/>
    <w:rsid w:val="00F64B46"/>
    <w:rsid w:val="00F65D44"/>
    <w:rsid w:val="00F672D4"/>
    <w:rsid w:val="00F7359A"/>
    <w:rsid w:val="00F76564"/>
    <w:rsid w:val="00F778CE"/>
    <w:rsid w:val="00F86E2A"/>
    <w:rsid w:val="00F9723C"/>
    <w:rsid w:val="00FA483D"/>
    <w:rsid w:val="00FA5E35"/>
    <w:rsid w:val="00FA67B6"/>
    <w:rsid w:val="00FA6C7A"/>
    <w:rsid w:val="00FA72CD"/>
    <w:rsid w:val="00FB3127"/>
    <w:rsid w:val="00FC0862"/>
    <w:rsid w:val="00FC0E5B"/>
    <w:rsid w:val="00FC4DD5"/>
    <w:rsid w:val="00FD0923"/>
    <w:rsid w:val="00FE7AE2"/>
    <w:rsid w:val="00FF1FAB"/>
    <w:rsid w:val="00FF7E52"/>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EEFD21"/>
  <w15:docId w15:val="{019B7AD6-04CE-46DF-A029-4265FC967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5763"/>
    <w:rPr>
      <w:rFonts w:ascii="Calibri" w:eastAsia="Times New Roman" w:hAnsi="Calibri" w:cs="Times New Roman"/>
      <w:lang w:eastAsia="tr-TR"/>
    </w:rPr>
  </w:style>
  <w:style w:type="paragraph" w:styleId="Balk1">
    <w:name w:val="heading 1"/>
    <w:basedOn w:val="Normal"/>
    <w:next w:val="Normal"/>
    <w:link w:val="Balk1Char"/>
    <w:uiPriority w:val="9"/>
    <w:qFormat/>
    <w:rsid w:val="00BC1E2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BC1E27"/>
    <w:rPr>
      <w:color w:val="0000FF"/>
      <w:u w:val="single"/>
    </w:rPr>
  </w:style>
  <w:style w:type="paragraph" w:customStyle="1" w:styleId="AralkYok1">
    <w:name w:val="Aralık Yok1"/>
    <w:uiPriority w:val="1"/>
    <w:qFormat/>
    <w:rsid w:val="00BC1E27"/>
    <w:pPr>
      <w:spacing w:line="240" w:lineRule="auto"/>
    </w:pPr>
    <w:rPr>
      <w:rFonts w:ascii="Calibri" w:eastAsia="Calibri" w:hAnsi="Calibri" w:cs="Times New Roman"/>
      <w:lang w:eastAsia="tr-TR"/>
    </w:rPr>
  </w:style>
  <w:style w:type="paragraph" w:styleId="BalonMetni">
    <w:name w:val="Balloon Text"/>
    <w:basedOn w:val="Normal"/>
    <w:link w:val="BalonMetniChar"/>
    <w:uiPriority w:val="99"/>
    <w:semiHidden/>
    <w:unhideWhenUsed/>
    <w:rsid w:val="00BC1E2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C1E27"/>
    <w:rPr>
      <w:rFonts w:ascii="Tahoma" w:eastAsia="Times New Roman" w:hAnsi="Tahoma" w:cs="Tahoma"/>
      <w:sz w:val="16"/>
      <w:szCs w:val="16"/>
      <w:lang w:eastAsia="tr-TR"/>
    </w:rPr>
  </w:style>
  <w:style w:type="character" w:customStyle="1" w:styleId="Balk1Char">
    <w:name w:val="Başlık 1 Char"/>
    <w:basedOn w:val="VarsaylanParagrafYazTipi"/>
    <w:link w:val="Balk1"/>
    <w:uiPriority w:val="9"/>
    <w:rsid w:val="00BC1E27"/>
    <w:rPr>
      <w:rFonts w:asciiTheme="majorHAnsi" w:eastAsiaTheme="majorEastAsia" w:hAnsiTheme="majorHAnsi" w:cstheme="majorBidi"/>
      <w:b/>
      <w:bCs/>
      <w:color w:val="365F91" w:themeColor="accent1" w:themeShade="BF"/>
      <w:sz w:val="28"/>
      <w:szCs w:val="28"/>
      <w:lang w:eastAsia="tr-TR"/>
    </w:rPr>
  </w:style>
  <w:style w:type="character" w:styleId="zlenenKpr">
    <w:name w:val="FollowedHyperlink"/>
    <w:basedOn w:val="VarsaylanParagrafYazTipi"/>
    <w:uiPriority w:val="99"/>
    <w:semiHidden/>
    <w:unhideWhenUsed/>
    <w:rsid w:val="00137CFD"/>
    <w:rPr>
      <w:color w:val="800080" w:themeColor="followedHyperlink"/>
      <w:u w:val="single"/>
    </w:rPr>
  </w:style>
  <w:style w:type="paragraph" w:styleId="Dzeltme">
    <w:name w:val="Revision"/>
    <w:hidden/>
    <w:uiPriority w:val="99"/>
    <w:semiHidden/>
    <w:rsid w:val="006120FF"/>
    <w:pPr>
      <w:spacing w:after="0" w:line="240" w:lineRule="auto"/>
    </w:pPr>
    <w:rPr>
      <w:rFonts w:ascii="Calibri" w:eastAsia="Times New Roman" w:hAnsi="Calibri" w:cs="Times New Roman"/>
      <w:lang w:eastAsia="tr-TR"/>
    </w:rPr>
  </w:style>
  <w:style w:type="paragraph" w:styleId="stBilgi">
    <w:name w:val="header"/>
    <w:basedOn w:val="Normal"/>
    <w:link w:val="stBilgiChar"/>
    <w:uiPriority w:val="99"/>
    <w:unhideWhenUsed/>
    <w:rsid w:val="00F86E2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86E2A"/>
    <w:rPr>
      <w:rFonts w:ascii="Calibri" w:eastAsia="Times New Roman" w:hAnsi="Calibri" w:cs="Times New Roman"/>
      <w:lang w:eastAsia="tr-TR"/>
    </w:rPr>
  </w:style>
  <w:style w:type="paragraph" w:styleId="AltBilgi">
    <w:name w:val="footer"/>
    <w:basedOn w:val="Normal"/>
    <w:link w:val="AltBilgiChar"/>
    <w:uiPriority w:val="99"/>
    <w:unhideWhenUsed/>
    <w:rsid w:val="00F86E2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86E2A"/>
    <w:rPr>
      <w:rFonts w:ascii="Calibri" w:eastAsia="Times New Roman" w:hAnsi="Calibri" w:cs="Times New Roman"/>
      <w:lang w:eastAsia="tr-TR"/>
    </w:rPr>
  </w:style>
  <w:style w:type="paragraph" w:styleId="ListeParagraf">
    <w:name w:val="List Paragraph"/>
    <w:basedOn w:val="Normal"/>
    <w:uiPriority w:val="34"/>
    <w:qFormat/>
    <w:rsid w:val="00F57689"/>
    <w:pPr>
      <w:ind w:left="720"/>
      <w:contextualSpacing/>
    </w:pPr>
  </w:style>
  <w:style w:type="character" w:styleId="AklamaBavurusu">
    <w:name w:val="annotation reference"/>
    <w:basedOn w:val="VarsaylanParagrafYazTipi"/>
    <w:uiPriority w:val="99"/>
    <w:semiHidden/>
    <w:unhideWhenUsed/>
    <w:rsid w:val="00F44C91"/>
    <w:rPr>
      <w:sz w:val="16"/>
      <w:szCs w:val="16"/>
    </w:rPr>
  </w:style>
  <w:style w:type="paragraph" w:styleId="AklamaMetni">
    <w:name w:val="annotation text"/>
    <w:basedOn w:val="Normal"/>
    <w:link w:val="AklamaMetniChar"/>
    <w:uiPriority w:val="99"/>
    <w:semiHidden/>
    <w:unhideWhenUsed/>
    <w:rsid w:val="00F44C91"/>
    <w:pPr>
      <w:spacing w:line="240" w:lineRule="auto"/>
    </w:pPr>
    <w:rPr>
      <w:sz w:val="20"/>
      <w:szCs w:val="20"/>
    </w:rPr>
  </w:style>
  <w:style w:type="character" w:customStyle="1" w:styleId="AklamaMetniChar">
    <w:name w:val="Açıklama Metni Char"/>
    <w:basedOn w:val="VarsaylanParagrafYazTipi"/>
    <w:link w:val="AklamaMetni"/>
    <w:uiPriority w:val="99"/>
    <w:semiHidden/>
    <w:rsid w:val="00F44C91"/>
    <w:rPr>
      <w:rFonts w:ascii="Calibri" w:eastAsia="Times New Roman" w:hAnsi="Calibri"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F44C91"/>
    <w:rPr>
      <w:b/>
      <w:bCs/>
    </w:rPr>
  </w:style>
  <w:style w:type="character" w:customStyle="1" w:styleId="AklamaKonusuChar">
    <w:name w:val="Açıklama Konusu Char"/>
    <w:basedOn w:val="AklamaMetniChar"/>
    <w:link w:val="AklamaKonusu"/>
    <w:uiPriority w:val="99"/>
    <w:semiHidden/>
    <w:rsid w:val="00F44C91"/>
    <w:rPr>
      <w:rFonts w:ascii="Calibri" w:eastAsia="Times New Roman" w:hAnsi="Calibri" w:cs="Times New Roman"/>
      <w:b/>
      <w:bCs/>
      <w:sz w:val="20"/>
      <w:szCs w:val="20"/>
      <w:lang w:eastAsia="tr-TR"/>
    </w:rPr>
  </w:style>
  <w:style w:type="paragraph" w:styleId="DipnotMetni">
    <w:name w:val="footnote text"/>
    <w:basedOn w:val="Normal"/>
    <w:link w:val="DipnotMetniChar"/>
    <w:uiPriority w:val="99"/>
    <w:semiHidden/>
    <w:unhideWhenUsed/>
    <w:rsid w:val="008A6C37"/>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8A6C37"/>
    <w:rPr>
      <w:rFonts w:ascii="Calibri" w:eastAsia="Times New Roman" w:hAnsi="Calibri" w:cs="Times New Roman"/>
      <w:sz w:val="20"/>
      <w:szCs w:val="20"/>
      <w:lang w:eastAsia="tr-TR"/>
    </w:rPr>
  </w:style>
  <w:style w:type="character" w:styleId="DipnotBavurusu">
    <w:name w:val="footnote reference"/>
    <w:basedOn w:val="VarsaylanParagrafYazTipi"/>
    <w:uiPriority w:val="99"/>
    <w:semiHidden/>
    <w:unhideWhenUsed/>
    <w:rsid w:val="008A6C3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thbb.org/basin-odas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thbb.org/sektor/hazir-beton-sektor-rapor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Belge" ma:contentTypeID="0x01010043B0F92889A4EA43A65D5B549F390F06" ma:contentTypeVersion="10" ma:contentTypeDescription="Yeni belge oluşturun." ma:contentTypeScope="" ma:versionID="da64e008499383d17120004e4e3277f8">
  <xsd:schema xmlns:xsd="http://www.w3.org/2001/XMLSchema" xmlns:xs="http://www.w3.org/2001/XMLSchema" xmlns:p="http://schemas.microsoft.com/office/2006/metadata/properties" xmlns:ns2="967e69af-786a-4c50-8741-aa3b80a10e62" targetNamespace="http://schemas.microsoft.com/office/2006/metadata/properties" ma:root="true" ma:fieldsID="e77444bb067183d900f3b681e0253878" ns2:_="">
    <xsd:import namespace="967e69af-786a-4c50-8741-aa3b80a10e6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7e69af-786a-4c50-8741-aa3b80a10e6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44FFE68-48FA-442E-83CD-9BC63DE7F438}">
  <ds:schemaRefs>
    <ds:schemaRef ds:uri="http://schemas.openxmlformats.org/officeDocument/2006/bibliography"/>
  </ds:schemaRefs>
</ds:datastoreItem>
</file>

<file path=customXml/itemProps2.xml><?xml version="1.0" encoding="utf-8"?>
<ds:datastoreItem xmlns:ds="http://schemas.openxmlformats.org/officeDocument/2006/customXml" ds:itemID="{C354FBFA-3336-4318-8F59-18257AFA1C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7e69af-786a-4c50-8741-aa3b80a10e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814A7-E8B6-40E8-95D9-395D89582D11}">
  <ds:schemaRefs>
    <ds:schemaRef ds:uri="http://schemas.microsoft.com/sharepoint/v3/contenttype/forms"/>
  </ds:schemaRefs>
</ds:datastoreItem>
</file>

<file path=customXml/itemProps4.xml><?xml version="1.0" encoding="utf-8"?>
<ds:datastoreItem xmlns:ds="http://schemas.openxmlformats.org/officeDocument/2006/customXml" ds:itemID="{33FBACCA-8550-45A5-B425-923FC834F10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1443</Words>
  <Characters>8228</Characters>
  <Application>Microsoft Office Word</Application>
  <DocSecurity>0</DocSecurity>
  <Lines>68</Lines>
  <Paragraphs>19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Hakan</dc:creator>
  <cp:lastModifiedBy>Lenovo</cp:lastModifiedBy>
  <cp:revision>11</cp:revision>
  <cp:lastPrinted>2026-04-06T09:08:00Z</cp:lastPrinted>
  <dcterms:created xsi:type="dcterms:W3CDTF">2026-03-30T14:04:00Z</dcterms:created>
  <dcterms:modified xsi:type="dcterms:W3CDTF">2026-04-07T06:41:00Z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0x01010043B0F92889A4EA43A65D5B549F390F06</vt:lpwstr>
  </property>
</Properties>
</file>