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38392A2F"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9932AC" w:rsidRPr="009932AC">
        <w:rPr>
          <w:rFonts w:ascii="Arial" w:hAnsi="Arial" w:cs="Arial"/>
          <w:b/>
          <w:color w:val="0D0D0D" w:themeColor="text1" w:themeTint="F2"/>
          <w:szCs w:val="24"/>
          <w:u w:val="single"/>
        </w:rPr>
        <w:t>17</w:t>
      </w:r>
      <w:r w:rsidR="00BD6436" w:rsidRPr="009932AC">
        <w:rPr>
          <w:rFonts w:ascii="Arial" w:hAnsi="Arial" w:cs="Arial"/>
          <w:b/>
          <w:color w:val="0D0D0D" w:themeColor="text1" w:themeTint="F2"/>
          <w:szCs w:val="24"/>
          <w:u w:val="single"/>
        </w:rPr>
        <w:t xml:space="preserve"> Nisan </w:t>
      </w:r>
      <w:r w:rsidR="007D6058" w:rsidRPr="009932AC">
        <w:rPr>
          <w:rFonts w:ascii="Arial" w:hAnsi="Arial" w:cs="Arial"/>
          <w:b/>
          <w:szCs w:val="24"/>
          <w:u w:val="single"/>
        </w:rPr>
        <w:t>2</w:t>
      </w:r>
      <w:r w:rsidR="00727AAD" w:rsidRPr="009932AC">
        <w:rPr>
          <w:rFonts w:ascii="Arial" w:hAnsi="Arial" w:cs="Arial"/>
          <w:b/>
          <w:szCs w:val="24"/>
          <w:u w:val="single"/>
        </w:rPr>
        <w:t>026</w:t>
      </w:r>
    </w:p>
    <w:p w14:paraId="59222625" w14:textId="77777777" w:rsidR="00EB004B" w:rsidRDefault="00EB004B" w:rsidP="008D5FA9">
      <w:pPr>
        <w:spacing w:before="120" w:after="120" w:line="264" w:lineRule="auto"/>
        <w:jc w:val="center"/>
        <w:rPr>
          <w:rFonts w:ascii="Arial" w:hAnsi="Arial" w:cs="Arial"/>
          <w:b/>
          <w:sz w:val="32"/>
          <w:szCs w:val="28"/>
          <w:highlight w:val="yellow"/>
        </w:rPr>
      </w:pPr>
    </w:p>
    <w:p w14:paraId="1F756DFC" w14:textId="0E687A22" w:rsidR="00C63576" w:rsidRDefault="00C63576" w:rsidP="008D5FA9">
      <w:pPr>
        <w:spacing w:before="120" w:after="120" w:line="264" w:lineRule="auto"/>
        <w:jc w:val="center"/>
        <w:rPr>
          <w:rFonts w:ascii="Arial" w:hAnsi="Arial" w:cs="Arial"/>
          <w:b/>
          <w:sz w:val="32"/>
          <w:szCs w:val="28"/>
        </w:rPr>
      </w:pPr>
      <w:r w:rsidRPr="00D54591">
        <w:rPr>
          <w:rFonts w:ascii="Arial" w:hAnsi="Arial" w:cs="Arial"/>
          <w:b/>
          <w:sz w:val="32"/>
          <w:szCs w:val="28"/>
        </w:rPr>
        <w:t>İlk Çeyrekte İnşaatta İstenen Tablo Oluşmadı</w:t>
      </w:r>
    </w:p>
    <w:p w14:paraId="1C77AC72" w14:textId="2A885285" w:rsidR="00C63576"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C63576">
        <w:rPr>
          <w:rFonts w:ascii="Arial" w:hAnsi="Arial" w:cs="Arial"/>
          <w:b/>
        </w:rPr>
        <w:t>Mart</w:t>
      </w:r>
      <w:r w:rsidR="005B47D9" w:rsidRPr="00A763F7">
        <w:rPr>
          <w:rFonts w:ascii="Arial" w:hAnsi="Arial" w:cs="Arial"/>
          <w:b/>
        </w:rPr>
        <w:t xml:space="preserve">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C63576" w:rsidRPr="00C63576">
        <w:rPr>
          <w:rFonts w:ascii="Arial" w:hAnsi="Arial" w:cs="Arial"/>
          <w:b/>
        </w:rPr>
        <w:t xml:space="preserve">2026 yılının ilk çeyreği itibarıyla, </w:t>
      </w:r>
      <w:r w:rsidR="00C63576">
        <w:rPr>
          <w:rFonts w:ascii="Arial" w:hAnsi="Arial" w:cs="Arial"/>
          <w:b/>
        </w:rPr>
        <w:t>önceki aylardaki dalgalanmaların</w:t>
      </w:r>
      <w:r w:rsidR="00C63576" w:rsidRPr="00C63576">
        <w:rPr>
          <w:rFonts w:ascii="Arial" w:hAnsi="Arial" w:cs="Arial"/>
          <w:b/>
        </w:rPr>
        <w:t xml:space="preserve"> ardından mart ayı verileri, sektörün yıllık bazda net bir büyüme trendine girmekte zorlandığını ortaya koy</w:t>
      </w:r>
      <w:r w:rsidR="00C63576">
        <w:rPr>
          <w:rFonts w:ascii="Arial" w:hAnsi="Arial" w:cs="Arial"/>
          <w:b/>
        </w:rPr>
        <w:t>du.</w:t>
      </w:r>
      <w:r w:rsidR="00C63576" w:rsidRPr="00C63576">
        <w:rPr>
          <w:rFonts w:ascii="Arial" w:hAnsi="Arial" w:cs="Arial"/>
          <w:b/>
        </w:rPr>
        <w:t xml:space="preserve"> </w:t>
      </w:r>
    </w:p>
    <w:p w14:paraId="49949D67" w14:textId="11E51588"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6EDB5323" w14:textId="1B79DF50" w:rsidR="00C833CD" w:rsidRPr="00C833CD" w:rsidRDefault="00042A9E" w:rsidP="00C833CD">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ED38ED">
        <w:rPr>
          <w:rFonts w:ascii="Arial" w:hAnsi="Arial" w:cs="Arial"/>
        </w:rPr>
        <w:t>Mart</w:t>
      </w:r>
      <w:r w:rsidR="00F1456F">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 </w:t>
      </w:r>
      <w:r w:rsidR="00ED38ED">
        <w:rPr>
          <w:rFonts w:ascii="Arial" w:hAnsi="Arial" w:cs="Arial"/>
        </w:rPr>
        <w:t>t</w:t>
      </w:r>
      <w:r w:rsidR="00C833CD" w:rsidRPr="00C833CD">
        <w:rPr>
          <w:rFonts w:ascii="Arial" w:hAnsi="Arial" w:cs="Arial"/>
        </w:rPr>
        <w:t xml:space="preserve">üm endeksler 2025 yılının büyük bölümünde eşik değerin altında dalgalı bir seyir izledikten sonra yılın son çeyreğinde sınırlı bir toparlanma eğilimi göstermiş, ancak 2026 </w:t>
      </w:r>
      <w:r w:rsidR="00ED38ED">
        <w:rPr>
          <w:rFonts w:ascii="Arial" w:hAnsi="Arial" w:cs="Arial"/>
        </w:rPr>
        <w:t>o</w:t>
      </w:r>
      <w:r w:rsidR="00C833CD" w:rsidRPr="00C833CD">
        <w:rPr>
          <w:rFonts w:ascii="Arial" w:hAnsi="Arial" w:cs="Arial"/>
        </w:rPr>
        <w:t xml:space="preserve">cak ayında bu </w:t>
      </w:r>
      <w:r w:rsidR="00EB004B">
        <w:rPr>
          <w:rFonts w:ascii="Arial" w:hAnsi="Arial" w:cs="Arial"/>
        </w:rPr>
        <w:t>eğilim</w:t>
      </w:r>
      <w:r w:rsidR="00C833CD" w:rsidRPr="00C833CD">
        <w:rPr>
          <w:rFonts w:ascii="Arial" w:hAnsi="Arial" w:cs="Arial"/>
        </w:rPr>
        <w:t xml:space="preserve"> yerini zayıflamaya bırakmıştır.</w:t>
      </w:r>
      <w:r w:rsidR="00C833CD">
        <w:rPr>
          <w:rFonts w:ascii="Arial" w:hAnsi="Arial" w:cs="Arial"/>
        </w:rPr>
        <w:t xml:space="preserve"> Ş</w:t>
      </w:r>
      <w:r w:rsidR="00C833CD" w:rsidRPr="00C833CD">
        <w:rPr>
          <w:rFonts w:ascii="Arial" w:hAnsi="Arial" w:cs="Arial"/>
        </w:rPr>
        <w:t>ubat ayındaki toparlanmanın ardından mart ayı itibarıyla endekslerde farklılaşan bir seyir gözlenmektedir.</w:t>
      </w:r>
    </w:p>
    <w:p w14:paraId="053B6B44" w14:textId="15CFBE03" w:rsidR="00C833CD" w:rsidRPr="00C833CD" w:rsidRDefault="00C833CD" w:rsidP="00C833CD">
      <w:pPr>
        <w:spacing w:before="120" w:after="120" w:line="264" w:lineRule="auto"/>
        <w:jc w:val="both"/>
        <w:rPr>
          <w:rFonts w:ascii="Arial" w:hAnsi="Arial" w:cs="Arial"/>
        </w:rPr>
      </w:pPr>
      <w:r w:rsidRPr="00C833CD">
        <w:rPr>
          <w:rFonts w:ascii="Arial" w:hAnsi="Arial" w:cs="Arial"/>
        </w:rPr>
        <w:t>Güven Endeksi, şubat ayındaki yükselişi sonrası</w:t>
      </w:r>
      <w:r>
        <w:rPr>
          <w:rFonts w:ascii="Arial" w:hAnsi="Arial" w:cs="Arial"/>
        </w:rPr>
        <w:t xml:space="preserve"> </w:t>
      </w:r>
      <w:r w:rsidRPr="00C833CD">
        <w:rPr>
          <w:rFonts w:ascii="Arial" w:hAnsi="Arial" w:cs="Arial"/>
        </w:rPr>
        <w:t>mart ayında sınırlı bir gerileme kaydederek ocak ayındaki seviyesinin üzerin</w:t>
      </w:r>
      <w:r w:rsidR="00EB004B">
        <w:rPr>
          <w:rFonts w:ascii="Arial" w:hAnsi="Arial" w:cs="Arial"/>
        </w:rPr>
        <w:t xml:space="preserve">e çıkmış </w:t>
      </w:r>
      <w:r w:rsidRPr="00C833CD">
        <w:rPr>
          <w:rFonts w:ascii="Arial" w:hAnsi="Arial" w:cs="Arial"/>
        </w:rPr>
        <w:t>ancak eşik değerin altında kalmaya devam etmiştir. Bu durum, sektördeki güven algısının şubat ayındaki toparlan</w:t>
      </w:r>
      <w:r w:rsidR="00F20BA4">
        <w:rPr>
          <w:rFonts w:ascii="Arial" w:hAnsi="Arial" w:cs="Arial"/>
        </w:rPr>
        <w:t>mayı mart ayında sürdüremediğini</w:t>
      </w:r>
      <w:r w:rsidRPr="00C833CD">
        <w:rPr>
          <w:rFonts w:ascii="Arial" w:hAnsi="Arial" w:cs="Arial"/>
        </w:rPr>
        <w:t xml:space="preserve"> v</w:t>
      </w:r>
      <w:r w:rsidR="00ED38ED">
        <w:rPr>
          <w:rFonts w:ascii="Arial" w:hAnsi="Arial" w:cs="Arial"/>
        </w:rPr>
        <w:t>e temkinli görünümün korunduğunu</w:t>
      </w:r>
      <w:r w:rsidRPr="00C833CD">
        <w:rPr>
          <w:rFonts w:ascii="Arial" w:hAnsi="Arial" w:cs="Arial"/>
        </w:rPr>
        <w:t xml:space="preserve"> göstermektedir.</w:t>
      </w:r>
    </w:p>
    <w:p w14:paraId="26D70DE7" w14:textId="48AE662E" w:rsidR="00C833CD" w:rsidRPr="00C833CD" w:rsidRDefault="00C833CD" w:rsidP="00C833CD">
      <w:pPr>
        <w:spacing w:before="120" w:after="120" w:line="264" w:lineRule="auto"/>
        <w:jc w:val="both"/>
        <w:rPr>
          <w:rFonts w:ascii="Arial" w:hAnsi="Arial" w:cs="Arial"/>
        </w:rPr>
      </w:pPr>
      <w:r w:rsidRPr="00C833CD">
        <w:rPr>
          <w:rFonts w:ascii="Arial" w:hAnsi="Arial" w:cs="Arial"/>
        </w:rPr>
        <w:t>Faaliyet Endeksi, ocak ayındaki sert düşüş sonrası şubat</w:t>
      </w:r>
      <w:r>
        <w:rPr>
          <w:rFonts w:ascii="Arial" w:hAnsi="Arial" w:cs="Arial"/>
        </w:rPr>
        <w:t xml:space="preserve"> ayında</w:t>
      </w:r>
      <w:r w:rsidRPr="00C833CD">
        <w:rPr>
          <w:rFonts w:ascii="Arial" w:hAnsi="Arial" w:cs="Arial"/>
        </w:rPr>
        <w:t xml:space="preserve"> kaybının bir kısmını telafi etse de mart ayında yönünü </w:t>
      </w:r>
      <w:r w:rsidR="00EB004B">
        <w:rPr>
          <w:rFonts w:ascii="Arial" w:hAnsi="Arial" w:cs="Arial"/>
        </w:rPr>
        <w:t xml:space="preserve">yeniden </w:t>
      </w:r>
      <w:r w:rsidRPr="00C833CD">
        <w:rPr>
          <w:rFonts w:ascii="Arial" w:hAnsi="Arial" w:cs="Arial"/>
        </w:rPr>
        <w:t>aşağı çevirmiştir. Endeksin mart ayında gerilemesi, sektördeki gerçek faaliyetlerin henüz eşik değeri aşacak bir ivme kazanamadığını ve toparlanmanın kırılgan olduğunu göstermektedir.</w:t>
      </w:r>
    </w:p>
    <w:p w14:paraId="233D1A6E" w14:textId="6EB01D5D" w:rsidR="00C833CD" w:rsidRPr="00C833CD" w:rsidRDefault="00C833CD" w:rsidP="00C833CD">
      <w:pPr>
        <w:spacing w:before="120" w:after="120" w:line="264" w:lineRule="auto"/>
        <w:jc w:val="both"/>
        <w:rPr>
          <w:rFonts w:ascii="Arial" w:hAnsi="Arial" w:cs="Arial"/>
        </w:rPr>
      </w:pPr>
      <w:r w:rsidRPr="00C833CD">
        <w:rPr>
          <w:rFonts w:ascii="Arial" w:hAnsi="Arial" w:cs="Arial"/>
        </w:rPr>
        <w:t>Beklenti Endeksi, şubat ayındaki sınırlı düşüşün ardından mart ayında diğer endekslerden pozitif ayrışarak yükselişe ge</w:t>
      </w:r>
      <w:r w:rsidR="00ED38ED">
        <w:rPr>
          <w:rFonts w:ascii="Arial" w:hAnsi="Arial" w:cs="Arial"/>
        </w:rPr>
        <w:t>çmiştir. Mart ayındaki bu artış</w:t>
      </w:r>
      <w:r w:rsidRPr="00C833CD">
        <w:rPr>
          <w:rFonts w:ascii="Arial" w:hAnsi="Arial" w:cs="Arial"/>
        </w:rPr>
        <w:t>, Faaliyet ve Güven Endek</w:t>
      </w:r>
      <w:r>
        <w:rPr>
          <w:rFonts w:ascii="Arial" w:hAnsi="Arial" w:cs="Arial"/>
        </w:rPr>
        <w:t>s</w:t>
      </w:r>
      <w:r w:rsidRPr="00C833CD">
        <w:rPr>
          <w:rFonts w:ascii="Arial" w:hAnsi="Arial" w:cs="Arial"/>
        </w:rPr>
        <w:t>leri tarafında yaşanan gerilemeye rağmen sektör oyuncularının önümüzdeki dönem için iyimserliğini koruduğunu ve toparlanma umudunun devam ettiğini ortaya koymaktadır.</w:t>
      </w:r>
    </w:p>
    <w:p w14:paraId="7AA5CBC6" w14:textId="77777777" w:rsidR="00C833CD" w:rsidRPr="00C833CD" w:rsidRDefault="00C833CD" w:rsidP="00C833CD">
      <w:pPr>
        <w:spacing w:before="120" w:after="120" w:line="264" w:lineRule="auto"/>
        <w:jc w:val="both"/>
        <w:rPr>
          <w:rFonts w:ascii="Arial" w:hAnsi="Arial" w:cs="Arial"/>
        </w:rPr>
      </w:pPr>
      <w:r w:rsidRPr="00C833CD">
        <w:rPr>
          <w:rFonts w:ascii="Arial" w:hAnsi="Arial" w:cs="Arial"/>
        </w:rPr>
        <w:t>Hazır Beton Endeksi, ocak ayındaki dip seviyesinden sonra şubat ayında gösterdiği toparlanma eğilimini mart ayında koruyamamış ve yatay-negatif bir seyirle mart ayını tamamlamıştır.</w:t>
      </w:r>
    </w:p>
    <w:p w14:paraId="217BBD81" w14:textId="3CA94F15" w:rsidR="005F12C0" w:rsidRDefault="00C833CD" w:rsidP="00C833CD">
      <w:pPr>
        <w:spacing w:before="120" w:after="120" w:line="264" w:lineRule="auto"/>
        <w:jc w:val="both"/>
        <w:rPr>
          <w:rFonts w:ascii="Arial" w:hAnsi="Arial" w:cs="Arial"/>
        </w:rPr>
      </w:pPr>
      <w:r w:rsidRPr="00C833CD">
        <w:rPr>
          <w:rFonts w:ascii="Arial" w:hAnsi="Arial" w:cs="Arial"/>
        </w:rPr>
        <w:t>Genel olarak değerlendirildiğinde, mart ayında Faaliyet ve Güven Endeksleri tarafında sınırlı bir geri</w:t>
      </w:r>
      <w:r w:rsidR="00EB004B">
        <w:rPr>
          <w:rFonts w:ascii="Arial" w:hAnsi="Arial" w:cs="Arial"/>
        </w:rPr>
        <w:t>leme</w:t>
      </w:r>
      <w:r w:rsidRPr="00C833CD">
        <w:rPr>
          <w:rFonts w:ascii="Arial" w:hAnsi="Arial" w:cs="Arial"/>
        </w:rPr>
        <w:t xml:space="preserve"> yaşanırken, Beklenti Endeksi tarafındaki yükseliş dikkat çekmektedir. Tüm endekslerin hâlen eşik değerin altında seyretmesi, sektör üzerindeki baskının devam ettiğini ancak ileriye dönük beklentilerin canlı kaldığını göstermektedir.</w:t>
      </w:r>
    </w:p>
    <w:p w14:paraId="0DF7C3AE" w14:textId="13E743EE" w:rsidR="00C833CD" w:rsidRPr="00C833CD" w:rsidRDefault="00727AAD" w:rsidP="00C833CD">
      <w:pPr>
        <w:spacing w:before="120" w:after="120" w:line="264" w:lineRule="auto"/>
        <w:jc w:val="both"/>
        <w:rPr>
          <w:rFonts w:ascii="Arial" w:hAnsi="Arial" w:cs="Arial"/>
        </w:rPr>
      </w:pPr>
      <w:r>
        <w:rPr>
          <w:rFonts w:ascii="Arial" w:hAnsi="Arial" w:cs="Arial"/>
        </w:rPr>
        <w:t xml:space="preserve">Geçen yılın aynı ayına göre bakıldığında, </w:t>
      </w:r>
      <w:r w:rsidR="00C833CD">
        <w:rPr>
          <w:rFonts w:ascii="Arial" w:hAnsi="Arial" w:cs="Arial"/>
        </w:rPr>
        <w:t>m</w:t>
      </w:r>
      <w:r w:rsidR="00C833CD" w:rsidRPr="00C833CD">
        <w:rPr>
          <w:rFonts w:ascii="Arial" w:hAnsi="Arial" w:cs="Arial"/>
        </w:rPr>
        <w:t>art ayında endekslerin yıllık değişimleri incelendiğinde, Faaliyet Endeksi dışındaki tüm göstergelerin geçen yılın aynı dönemine göre pozitif bölgede yer aldığı görülmektedir. Beklenti Endeksi %0,8 ve Güven Endeksi %0,7 oranında yıllık artış sergileyerek iyimserlik tarafında sınırlı bir tutunma çabası gösterirken, Hazır Beton Endeksi yıllık bazda %0,2’lik çok kısıtlı bir yükseliş kaydetmiştir. Buna karşın Faaliyet Endeksi, %0,8 oranında gerileyerek yıllık bazda negatif ayrışan tek gösterge olmuştur. Bu tablo, sektörde psikolojik beklentilerin ve güvenin geçen yıla göre bir miktar daha dirençli olduğunu, ancak sahadaki reel faaliyetlerin geçen yılın dahi gerisinde kaldığını ortaya koymaktadır.</w:t>
      </w:r>
    </w:p>
    <w:p w14:paraId="751AB270" w14:textId="77777777" w:rsidR="00C833CD" w:rsidRPr="00C833CD" w:rsidRDefault="00C833CD" w:rsidP="00C833CD">
      <w:pPr>
        <w:spacing w:before="120" w:after="120" w:line="264" w:lineRule="auto"/>
        <w:jc w:val="both"/>
        <w:rPr>
          <w:rFonts w:ascii="Arial" w:hAnsi="Arial" w:cs="Arial"/>
        </w:rPr>
      </w:pPr>
    </w:p>
    <w:p w14:paraId="34897813" w14:textId="61B73EE0" w:rsidR="00C833CD" w:rsidRDefault="00C833CD" w:rsidP="00C833CD">
      <w:pPr>
        <w:spacing w:before="120" w:after="120" w:line="264" w:lineRule="auto"/>
        <w:jc w:val="both"/>
        <w:rPr>
          <w:rFonts w:ascii="Arial" w:hAnsi="Arial" w:cs="Arial"/>
        </w:rPr>
      </w:pPr>
      <w:r w:rsidRPr="00C833CD">
        <w:rPr>
          <w:rFonts w:ascii="Arial" w:hAnsi="Arial" w:cs="Arial"/>
        </w:rPr>
        <w:lastRenderedPageBreak/>
        <w:t>2026 yılının ilk çeyreği itibarıyla, ocak ayındaki sert düşüş ve şubat</w:t>
      </w:r>
      <w:r>
        <w:rPr>
          <w:rFonts w:ascii="Arial" w:hAnsi="Arial" w:cs="Arial"/>
        </w:rPr>
        <w:t xml:space="preserve"> ayındaki</w:t>
      </w:r>
      <w:r w:rsidRPr="00C833CD">
        <w:rPr>
          <w:rFonts w:ascii="Arial" w:hAnsi="Arial" w:cs="Arial"/>
        </w:rPr>
        <w:t xml:space="preserve"> yükselişin ardından mart ayı verileri, sektörün yıllık bazda net bir büyüme trendine girmekte zorlandığını ortaya koymuştur. Özellikle Faaliyet Endeksi tarafındaki yıllık daralma, inşaat sahasındaki hareketliliğin henüz istenilen ivmeye ulaşamadığına işaret etmektedir.</w:t>
      </w:r>
    </w:p>
    <w:p w14:paraId="44125384" w14:textId="4DF3F8EE" w:rsidR="00FB0C03" w:rsidRDefault="00D4198C" w:rsidP="00744C20">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CB7496" w:rsidRPr="00CB7496">
        <w:rPr>
          <w:rFonts w:ascii="Arial" w:hAnsi="Arial" w:cs="Arial"/>
        </w:rPr>
        <w:t>Faaliyet ve Güven Endeksleri tarafında sınırlı bir geri çekilme yaşanırken, Beklenti Endeksi tarafındaki yükseliş dikkat çekmektedir. Tüm endekslerin hâlen eşik değerin altında seyretmesi, sektör üzerindeki baskının devam ettiğini ancak ileriye dönük beklentilerin canlı kaldığını göstermektedir</w:t>
      </w:r>
      <w:r w:rsidR="006378BE">
        <w:rPr>
          <w:rFonts w:ascii="Arial" w:hAnsi="Arial" w:cs="Arial"/>
        </w:rPr>
        <w:t>.</w:t>
      </w:r>
      <w:r w:rsidR="00FB0C03">
        <w:rPr>
          <w:rFonts w:ascii="Arial" w:hAnsi="Arial" w:cs="Arial"/>
        </w:rPr>
        <w:t>” dedi.</w:t>
      </w:r>
    </w:p>
    <w:p w14:paraId="7C338341" w14:textId="608E8C58"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CB7496" w:rsidRPr="00CB7496">
        <w:rPr>
          <w:rFonts w:ascii="Arial" w:hAnsi="Arial" w:cs="Arial"/>
        </w:rPr>
        <w:t xml:space="preserve">2026 yılının mart ve nisan ayları itibarıyla Türkiye’de inşaat sektörü, makroekonomik dengelenme sürecinin etkilerini hissetmeye devam etmektedir. Enflasyonla mücadele kapsamında uygulanan sıkı para politikasının bir sonucu olarak finansman maliyetlerinin yüksek seyretmesi hem konut talebi hem de yeni projelerin fonlanması üzerinde baskı oluşturmaktadır. Mart ayı itibarıyla TÜİK verileri ve </w:t>
      </w:r>
      <w:proofErr w:type="spellStart"/>
      <w:r w:rsidR="00CB7496" w:rsidRPr="00CB7496">
        <w:rPr>
          <w:rFonts w:ascii="Arial" w:hAnsi="Arial" w:cs="Arial"/>
        </w:rPr>
        <w:t>sektörel</w:t>
      </w:r>
      <w:proofErr w:type="spellEnd"/>
      <w:r w:rsidR="00CB7496" w:rsidRPr="00CB7496">
        <w:rPr>
          <w:rFonts w:ascii="Arial" w:hAnsi="Arial" w:cs="Arial"/>
        </w:rPr>
        <w:t xml:space="preserve"> endeksler, güven algısının eşik değerin altında "temkinli " bölgede kaldığını</w:t>
      </w:r>
      <w:r w:rsidR="00CB7496">
        <w:rPr>
          <w:rFonts w:ascii="Arial" w:hAnsi="Arial" w:cs="Arial"/>
        </w:rPr>
        <w:t xml:space="preserve"> </w:t>
      </w:r>
      <w:r w:rsidR="00CB7496" w:rsidRPr="00CB7496">
        <w:rPr>
          <w:rFonts w:ascii="Arial" w:hAnsi="Arial" w:cs="Arial"/>
        </w:rPr>
        <w:t xml:space="preserve">doğrulamaktadır. Sektör, bir yandan başta enerji olmak üzere maliyet artışlarıyla başa çıkmaya çalışırken, diğer yandan düşük kredi hacmi nedeniyle talep daralmasıyla karşı karşıyadır. Bu durum, önümüzdeki dönemde faaliyetlerin ancak kamu projeleri veya kentsel dönüşüm odaklı </w:t>
      </w:r>
      <w:r w:rsidR="00EB004B">
        <w:rPr>
          <w:rFonts w:ascii="Arial" w:hAnsi="Arial" w:cs="Arial"/>
        </w:rPr>
        <w:t xml:space="preserve">olarak </w:t>
      </w:r>
      <w:r w:rsidR="0039799E">
        <w:rPr>
          <w:rFonts w:ascii="Arial" w:hAnsi="Arial" w:cs="Arial"/>
        </w:rPr>
        <w:t>canlı kalabileceğini;</w:t>
      </w:r>
      <w:r w:rsidR="00CB7496" w:rsidRPr="00CB7496">
        <w:rPr>
          <w:rFonts w:ascii="Arial" w:hAnsi="Arial" w:cs="Arial"/>
        </w:rPr>
        <w:t xml:space="preserve"> genel bir </w:t>
      </w:r>
      <w:proofErr w:type="spellStart"/>
      <w:r w:rsidR="00CB7496" w:rsidRPr="00CB7496">
        <w:rPr>
          <w:rFonts w:ascii="Arial" w:hAnsi="Arial" w:cs="Arial"/>
        </w:rPr>
        <w:t>sektörel</w:t>
      </w:r>
      <w:proofErr w:type="spellEnd"/>
      <w:r w:rsidR="00CB7496" w:rsidRPr="00CB7496">
        <w:rPr>
          <w:rFonts w:ascii="Arial" w:hAnsi="Arial" w:cs="Arial"/>
        </w:rPr>
        <w:t xml:space="preserve"> genişleme için ise finansal koşullarda gevşeme beklendiğini göstermektedir</w:t>
      </w:r>
      <w:r w:rsidR="008D5FA9" w:rsidRPr="008D5FA9">
        <w:rPr>
          <w:rFonts w:ascii="Arial" w:hAnsi="Arial" w:cs="Arial"/>
        </w:rPr>
        <w:t>.</w:t>
      </w:r>
      <w:r w:rsidR="00D4198C" w:rsidRPr="00D4198C">
        <w:rPr>
          <w:rFonts w:ascii="Arial" w:hAnsi="Arial" w:cs="Arial"/>
        </w:rPr>
        <w:t>”</w:t>
      </w:r>
      <w:r w:rsidR="00FB0C03">
        <w:rPr>
          <w:rFonts w:ascii="Arial" w:hAnsi="Arial" w:cs="Arial"/>
        </w:rPr>
        <w:t xml:space="preserve"> dedi.</w:t>
      </w:r>
    </w:p>
    <w:p w14:paraId="448608E8" w14:textId="55F0D2A6" w:rsidR="006C6DAD" w:rsidRDefault="008E2225" w:rsidP="006C6DAD">
      <w:pPr>
        <w:spacing w:after="120"/>
        <w:jc w:val="center"/>
        <w:outlineLvl w:val="1"/>
        <w:rPr>
          <w:noProof/>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p>
    <w:p w14:paraId="12CE1CA6" w14:textId="0469AAA2" w:rsidR="00CB7496" w:rsidRDefault="00CB7496" w:rsidP="006C6DAD">
      <w:pPr>
        <w:spacing w:after="120"/>
        <w:jc w:val="center"/>
        <w:outlineLvl w:val="1"/>
        <w:rPr>
          <w:rFonts w:ascii="Arial" w:hAnsi="Arial" w:cs="Arial"/>
          <w:b/>
        </w:rPr>
      </w:pPr>
      <w:r>
        <w:rPr>
          <w:noProof/>
        </w:rPr>
        <w:drawing>
          <wp:inline distT="0" distB="0" distL="0" distR="0" wp14:anchorId="64C3AD91" wp14:editId="6AD8DE26">
            <wp:extent cx="5440680" cy="2880360"/>
            <wp:effectExtent l="0" t="0" r="7620" b="15240"/>
            <wp:docPr id="1078733772" name="Grafik 1">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00A08B" w14:textId="77777777" w:rsidR="00965EC8" w:rsidRDefault="00965EC8" w:rsidP="00671ED7">
      <w:pPr>
        <w:spacing w:before="230" w:after="115"/>
        <w:contextualSpacing/>
        <w:jc w:val="center"/>
        <w:outlineLvl w:val="1"/>
        <w:rPr>
          <w:rFonts w:ascii="Arial" w:hAnsi="Arial" w:cs="Arial"/>
          <w:b/>
        </w:rPr>
      </w:pPr>
    </w:p>
    <w:p w14:paraId="7A9D0DBD" w14:textId="77777777" w:rsidR="00F20BA4" w:rsidRDefault="00F20BA4" w:rsidP="00671ED7">
      <w:pPr>
        <w:spacing w:before="230" w:after="115"/>
        <w:contextualSpacing/>
        <w:jc w:val="center"/>
        <w:outlineLvl w:val="1"/>
        <w:rPr>
          <w:rFonts w:ascii="Arial" w:hAnsi="Arial" w:cs="Arial"/>
          <w:b/>
        </w:rPr>
      </w:pPr>
    </w:p>
    <w:p w14:paraId="49655C95" w14:textId="71886B11" w:rsidR="00671ED7" w:rsidRDefault="008E2225" w:rsidP="00EB004B">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198050A2" w14:textId="77777777" w:rsidR="006025DB" w:rsidRDefault="006025DB" w:rsidP="00EB004B">
      <w:pPr>
        <w:spacing w:before="230" w:after="115"/>
        <w:contextualSpacing/>
        <w:jc w:val="center"/>
        <w:outlineLvl w:val="1"/>
        <w:rPr>
          <w:rFonts w:ascii="Arial" w:hAnsi="Arial" w:cs="Arial"/>
          <w:b/>
        </w:rPr>
      </w:pPr>
    </w:p>
    <w:p w14:paraId="7F9B9B15" w14:textId="4EC4E983" w:rsidR="00D2194E" w:rsidRDefault="00CB7496" w:rsidP="00447336">
      <w:pPr>
        <w:spacing w:before="230" w:after="115"/>
        <w:contextualSpacing/>
        <w:jc w:val="center"/>
        <w:outlineLvl w:val="1"/>
        <w:rPr>
          <w:rFonts w:ascii="Arial" w:hAnsi="Arial" w:cs="Arial"/>
          <w:b/>
        </w:rPr>
      </w:pPr>
      <w:r>
        <w:rPr>
          <w:noProof/>
        </w:rPr>
        <w:drawing>
          <wp:inline distT="0" distB="0" distL="0" distR="0" wp14:anchorId="733F2CCA" wp14:editId="659B4447">
            <wp:extent cx="5760720" cy="1706880"/>
            <wp:effectExtent l="0" t="0" r="11430" b="7620"/>
            <wp:docPr id="868426258" name="Grafik 1">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145E4F" w14:textId="77777777" w:rsidR="00965EC8" w:rsidRDefault="00965EC8" w:rsidP="007800F7">
      <w:pPr>
        <w:jc w:val="both"/>
        <w:rPr>
          <w:rFonts w:ascii="Arial" w:hAnsi="Arial" w:cs="Arial"/>
          <w:b/>
        </w:rPr>
      </w:pPr>
    </w:p>
    <w:p w14:paraId="6672DFFA" w14:textId="079E004E" w:rsidR="00965EC8" w:rsidRDefault="00965EC8" w:rsidP="007800F7">
      <w:pPr>
        <w:jc w:val="both"/>
        <w:rPr>
          <w:rFonts w:ascii="Arial" w:hAnsi="Arial" w:cs="Arial"/>
          <w:b/>
        </w:rPr>
      </w:pPr>
    </w:p>
    <w:p w14:paraId="537E58F2" w14:textId="77777777" w:rsidR="00EB004B" w:rsidRDefault="00EB004B"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lastRenderedPageBreak/>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6025DB" w:rsidP="007800F7">
      <w:pPr>
        <w:pStyle w:val="AralkYok1"/>
        <w:spacing w:line="276" w:lineRule="auto"/>
        <w:contextualSpacing/>
        <w:rPr>
          <w:rStyle w:val="Kpr"/>
          <w:rFonts w:ascii="Arial" w:eastAsia="Times New Roman" w:hAnsi="Arial" w:cs="Arial"/>
          <w:b/>
          <w:bCs/>
          <w:sz w:val="16"/>
          <w:szCs w:val="16"/>
        </w:rPr>
      </w:pPr>
      <w:hyperlink r:id="rId11"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2"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3"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27"/>
    <w:rsid w:val="00002545"/>
    <w:rsid w:val="0000406C"/>
    <w:rsid w:val="00004DFE"/>
    <w:rsid w:val="000142B4"/>
    <w:rsid w:val="00015216"/>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FCF"/>
    <w:rsid w:val="000B56FA"/>
    <w:rsid w:val="000B6063"/>
    <w:rsid w:val="000C0F35"/>
    <w:rsid w:val="000C3DD0"/>
    <w:rsid w:val="000C51C7"/>
    <w:rsid w:val="000C7E3E"/>
    <w:rsid w:val="000D11ED"/>
    <w:rsid w:val="000D25BF"/>
    <w:rsid w:val="000D4E1F"/>
    <w:rsid w:val="000D5280"/>
    <w:rsid w:val="000D769D"/>
    <w:rsid w:val="000D7872"/>
    <w:rsid w:val="000E4A8C"/>
    <w:rsid w:val="000E637A"/>
    <w:rsid w:val="000E6A4A"/>
    <w:rsid w:val="000E6F4B"/>
    <w:rsid w:val="000E71DB"/>
    <w:rsid w:val="000F5905"/>
    <w:rsid w:val="000F6ACF"/>
    <w:rsid w:val="00100CBB"/>
    <w:rsid w:val="00110ADB"/>
    <w:rsid w:val="00114095"/>
    <w:rsid w:val="00114134"/>
    <w:rsid w:val="00116448"/>
    <w:rsid w:val="00117E77"/>
    <w:rsid w:val="00121729"/>
    <w:rsid w:val="001242F3"/>
    <w:rsid w:val="00131534"/>
    <w:rsid w:val="00131D7F"/>
    <w:rsid w:val="0014421E"/>
    <w:rsid w:val="0015058D"/>
    <w:rsid w:val="00153530"/>
    <w:rsid w:val="00153E04"/>
    <w:rsid w:val="001548D4"/>
    <w:rsid w:val="00162F0D"/>
    <w:rsid w:val="001638CC"/>
    <w:rsid w:val="00163FFE"/>
    <w:rsid w:val="001651BC"/>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674D"/>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46B6"/>
    <w:rsid w:val="00271D67"/>
    <w:rsid w:val="002736BE"/>
    <w:rsid w:val="0027466D"/>
    <w:rsid w:val="002751EF"/>
    <w:rsid w:val="00280E29"/>
    <w:rsid w:val="00281B65"/>
    <w:rsid w:val="00282596"/>
    <w:rsid w:val="002A0E28"/>
    <w:rsid w:val="002A265F"/>
    <w:rsid w:val="002B023F"/>
    <w:rsid w:val="002B240D"/>
    <w:rsid w:val="002C0439"/>
    <w:rsid w:val="002C5A3D"/>
    <w:rsid w:val="002D412A"/>
    <w:rsid w:val="002D458A"/>
    <w:rsid w:val="002D7D36"/>
    <w:rsid w:val="002D7EAE"/>
    <w:rsid w:val="002E1193"/>
    <w:rsid w:val="002E123B"/>
    <w:rsid w:val="002E3CC0"/>
    <w:rsid w:val="002E597C"/>
    <w:rsid w:val="002E7E04"/>
    <w:rsid w:val="002F1F59"/>
    <w:rsid w:val="002F2B80"/>
    <w:rsid w:val="002F2E74"/>
    <w:rsid w:val="002F307B"/>
    <w:rsid w:val="002F3C2D"/>
    <w:rsid w:val="00300D53"/>
    <w:rsid w:val="0030154E"/>
    <w:rsid w:val="00304EAD"/>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9799E"/>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B83"/>
    <w:rsid w:val="0056337F"/>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425D"/>
    <w:rsid w:val="005F051F"/>
    <w:rsid w:val="005F12C0"/>
    <w:rsid w:val="005F1B57"/>
    <w:rsid w:val="005F41A4"/>
    <w:rsid w:val="005F6F7D"/>
    <w:rsid w:val="005F707A"/>
    <w:rsid w:val="005F7597"/>
    <w:rsid w:val="0060100B"/>
    <w:rsid w:val="006025DB"/>
    <w:rsid w:val="00602672"/>
    <w:rsid w:val="00602D35"/>
    <w:rsid w:val="006037D9"/>
    <w:rsid w:val="00610917"/>
    <w:rsid w:val="0061329F"/>
    <w:rsid w:val="0061563C"/>
    <w:rsid w:val="0061585C"/>
    <w:rsid w:val="00621552"/>
    <w:rsid w:val="00622D7F"/>
    <w:rsid w:val="00624C49"/>
    <w:rsid w:val="00624FEB"/>
    <w:rsid w:val="00632937"/>
    <w:rsid w:val="00633D02"/>
    <w:rsid w:val="00634980"/>
    <w:rsid w:val="00635442"/>
    <w:rsid w:val="0063714D"/>
    <w:rsid w:val="006378BE"/>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96EE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80E23"/>
    <w:rsid w:val="0098575F"/>
    <w:rsid w:val="00985950"/>
    <w:rsid w:val="00987E20"/>
    <w:rsid w:val="009917C0"/>
    <w:rsid w:val="009932AC"/>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DF6"/>
    <w:rsid w:val="00B0136C"/>
    <w:rsid w:val="00B038EF"/>
    <w:rsid w:val="00B0446E"/>
    <w:rsid w:val="00B10BA4"/>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6ED1"/>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5C9D"/>
    <w:rsid w:val="00BC773B"/>
    <w:rsid w:val="00BC7B3A"/>
    <w:rsid w:val="00BC7DA0"/>
    <w:rsid w:val="00BD01CF"/>
    <w:rsid w:val="00BD0205"/>
    <w:rsid w:val="00BD2AF6"/>
    <w:rsid w:val="00BD643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38CA"/>
    <w:rsid w:val="00C274B4"/>
    <w:rsid w:val="00C3071A"/>
    <w:rsid w:val="00C36ED1"/>
    <w:rsid w:val="00C409D7"/>
    <w:rsid w:val="00C417B3"/>
    <w:rsid w:val="00C50BFB"/>
    <w:rsid w:val="00C516A8"/>
    <w:rsid w:val="00C51EA7"/>
    <w:rsid w:val="00C55A04"/>
    <w:rsid w:val="00C565BC"/>
    <w:rsid w:val="00C61482"/>
    <w:rsid w:val="00C6188A"/>
    <w:rsid w:val="00C63576"/>
    <w:rsid w:val="00C64628"/>
    <w:rsid w:val="00C66A32"/>
    <w:rsid w:val="00C75BD0"/>
    <w:rsid w:val="00C75F6B"/>
    <w:rsid w:val="00C8262C"/>
    <w:rsid w:val="00C833CD"/>
    <w:rsid w:val="00C92556"/>
    <w:rsid w:val="00C96AD4"/>
    <w:rsid w:val="00CA2199"/>
    <w:rsid w:val="00CA3B36"/>
    <w:rsid w:val="00CA679E"/>
    <w:rsid w:val="00CB28BE"/>
    <w:rsid w:val="00CB3550"/>
    <w:rsid w:val="00CB408B"/>
    <w:rsid w:val="00CB480C"/>
    <w:rsid w:val="00CB4A1E"/>
    <w:rsid w:val="00CB7496"/>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591"/>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D2139"/>
    <w:rsid w:val="00DE029D"/>
    <w:rsid w:val="00DE212A"/>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04B"/>
    <w:rsid w:val="00EB01A9"/>
    <w:rsid w:val="00EB2622"/>
    <w:rsid w:val="00EB4085"/>
    <w:rsid w:val="00EB6C02"/>
    <w:rsid w:val="00EC2EF1"/>
    <w:rsid w:val="00EC3DDD"/>
    <w:rsid w:val="00EC45F0"/>
    <w:rsid w:val="00EC4B55"/>
    <w:rsid w:val="00EC598F"/>
    <w:rsid w:val="00ED0A74"/>
    <w:rsid w:val="00ED100C"/>
    <w:rsid w:val="00ED38ED"/>
    <w:rsid w:val="00ED622F"/>
    <w:rsid w:val="00ED7EA8"/>
    <w:rsid w:val="00EE1D26"/>
    <w:rsid w:val="00EF0963"/>
    <w:rsid w:val="00EF2340"/>
    <w:rsid w:val="00EF29C2"/>
    <w:rsid w:val="00EF585A"/>
    <w:rsid w:val="00F011EE"/>
    <w:rsid w:val="00F02E2A"/>
    <w:rsid w:val="00F10C33"/>
    <w:rsid w:val="00F10E65"/>
    <w:rsid w:val="00F1456F"/>
    <w:rsid w:val="00F20BA4"/>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15:docId w15:val="{39A43890-F908-4325-B943-02167198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inar.taskin@thbb.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an.zengin@thbb.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bb.org/basin-od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belgeler\2026%20ma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belgeler\2026%20ma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sonuçları'!$DB$1:$DN$1</c:f>
              <c:strCache>
                <c:ptCount val="13"/>
                <c:pt idx="0">
                  <c:v>Mart</c:v>
                </c:pt>
                <c:pt idx="1">
                  <c:v>Nisan</c:v>
                </c:pt>
                <c:pt idx="2">
                  <c:v>Mayıs</c:v>
                </c:pt>
                <c:pt idx="3">
                  <c:v>Haziran</c:v>
                </c:pt>
                <c:pt idx="4">
                  <c:v>Temmuz</c:v>
                </c:pt>
                <c:pt idx="5">
                  <c:v>Ağustos</c:v>
                </c:pt>
                <c:pt idx="6">
                  <c:v>Eylül</c:v>
                </c:pt>
                <c:pt idx="7">
                  <c:v>Ekim</c:v>
                </c:pt>
                <c:pt idx="8">
                  <c:v>Kasım</c:v>
                </c:pt>
                <c:pt idx="9">
                  <c:v>Aralık</c:v>
                </c:pt>
                <c:pt idx="10">
                  <c:v>2026 Ocak</c:v>
                </c:pt>
                <c:pt idx="11">
                  <c:v>Şubat</c:v>
                </c:pt>
                <c:pt idx="12">
                  <c:v>Mart</c:v>
                </c:pt>
              </c:strCache>
            </c:strRef>
          </c:cat>
          <c:val>
            <c:numRef>
              <c:f>'endeks sonuçları'!$DB$2:$DN$2</c:f>
              <c:numCache>
                <c:formatCode>0.00</c:formatCode>
                <c:ptCount val="13"/>
                <c:pt idx="0">
                  <c:v>100.10000000000001</c:v>
                </c:pt>
                <c:pt idx="1">
                  <c:v>99.933333333333323</c:v>
                </c:pt>
                <c:pt idx="2">
                  <c:v>100.66666666666667</c:v>
                </c:pt>
                <c:pt idx="3">
                  <c:v>99.266666666666666</c:v>
                </c:pt>
                <c:pt idx="4">
                  <c:v>101.06666666666668</c:v>
                </c:pt>
                <c:pt idx="5">
                  <c:v>99.8</c:v>
                </c:pt>
                <c:pt idx="6">
                  <c:v>99.733333333333334</c:v>
                </c:pt>
                <c:pt idx="7">
                  <c:v>99.866666666666674</c:v>
                </c:pt>
                <c:pt idx="8">
                  <c:v>99.933333333333323</c:v>
                </c:pt>
                <c:pt idx="9">
                  <c:v>100.06666666666666</c:v>
                </c:pt>
                <c:pt idx="10">
                  <c:v>98.8</c:v>
                </c:pt>
                <c:pt idx="11">
                  <c:v>99.533333333333346</c:v>
                </c:pt>
                <c:pt idx="12">
                  <c:v>99.333333333333329</c:v>
                </c:pt>
              </c:numCache>
            </c:numRef>
          </c:val>
          <c:smooth val="0"/>
          <c:extLst>
            <c:ext xmlns:c16="http://schemas.microsoft.com/office/drawing/2014/chart" uri="{C3380CC4-5D6E-409C-BE32-E72D297353CC}">
              <c16:uniqueId val="{00000000-F14D-4333-AA2D-7568365D7355}"/>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sonuçları'!$DB$1:$DN$1</c:f>
              <c:strCache>
                <c:ptCount val="13"/>
                <c:pt idx="0">
                  <c:v>Mart</c:v>
                </c:pt>
                <c:pt idx="1">
                  <c:v>Nisan</c:v>
                </c:pt>
                <c:pt idx="2">
                  <c:v>Mayıs</c:v>
                </c:pt>
                <c:pt idx="3">
                  <c:v>Haziran</c:v>
                </c:pt>
                <c:pt idx="4">
                  <c:v>Temmuz</c:v>
                </c:pt>
                <c:pt idx="5">
                  <c:v>Ağustos</c:v>
                </c:pt>
                <c:pt idx="6">
                  <c:v>Eylül</c:v>
                </c:pt>
                <c:pt idx="7">
                  <c:v>Ekim</c:v>
                </c:pt>
                <c:pt idx="8">
                  <c:v>Kasım</c:v>
                </c:pt>
                <c:pt idx="9">
                  <c:v>Aralık</c:v>
                </c:pt>
                <c:pt idx="10">
                  <c:v>2026 Ocak</c:v>
                </c:pt>
                <c:pt idx="11">
                  <c:v>Şubat</c:v>
                </c:pt>
                <c:pt idx="12">
                  <c:v>Mart</c:v>
                </c:pt>
              </c:strCache>
            </c:strRef>
          </c:cat>
          <c:val>
            <c:numRef>
              <c:f>'endeks sonuçları'!$DB$3:$DN$3</c:f>
              <c:numCache>
                <c:formatCode>General</c:formatCode>
                <c:ptCount val="13"/>
                <c:pt idx="0">
                  <c:v>98.65</c:v>
                </c:pt>
                <c:pt idx="1">
                  <c:v>98.699999999999989</c:v>
                </c:pt>
                <c:pt idx="2">
                  <c:v>98.5</c:v>
                </c:pt>
                <c:pt idx="3">
                  <c:v>98.800000000000011</c:v>
                </c:pt>
                <c:pt idx="4">
                  <c:v>99.4</c:v>
                </c:pt>
                <c:pt idx="5">
                  <c:v>99.5</c:v>
                </c:pt>
                <c:pt idx="6">
                  <c:v>99.1</c:v>
                </c:pt>
                <c:pt idx="7">
                  <c:v>99.3</c:v>
                </c:pt>
                <c:pt idx="8">
                  <c:v>99.300000000000011</c:v>
                </c:pt>
                <c:pt idx="9">
                  <c:v>98.6</c:v>
                </c:pt>
                <c:pt idx="10">
                  <c:v>98.5</c:v>
                </c:pt>
                <c:pt idx="11">
                  <c:v>99.6</c:v>
                </c:pt>
                <c:pt idx="12">
                  <c:v>99.3</c:v>
                </c:pt>
              </c:numCache>
            </c:numRef>
          </c:val>
          <c:smooth val="0"/>
          <c:extLst>
            <c:ext xmlns:c16="http://schemas.microsoft.com/office/drawing/2014/chart" uri="{C3380CC4-5D6E-409C-BE32-E72D297353CC}">
              <c16:uniqueId val="{00000001-F14D-4333-AA2D-7568365D7355}"/>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sonuçları'!$DB$1:$DN$1</c:f>
              <c:strCache>
                <c:ptCount val="13"/>
                <c:pt idx="0">
                  <c:v>Mart</c:v>
                </c:pt>
                <c:pt idx="1">
                  <c:v>Nisan</c:v>
                </c:pt>
                <c:pt idx="2">
                  <c:v>Mayıs</c:v>
                </c:pt>
                <c:pt idx="3">
                  <c:v>Haziran</c:v>
                </c:pt>
                <c:pt idx="4">
                  <c:v>Temmuz</c:v>
                </c:pt>
                <c:pt idx="5">
                  <c:v>Ağustos</c:v>
                </c:pt>
                <c:pt idx="6">
                  <c:v>Eylül</c:v>
                </c:pt>
                <c:pt idx="7">
                  <c:v>Ekim</c:v>
                </c:pt>
                <c:pt idx="8">
                  <c:v>Kasım</c:v>
                </c:pt>
                <c:pt idx="9">
                  <c:v>Aralık</c:v>
                </c:pt>
                <c:pt idx="10">
                  <c:v>2026 Ocak</c:v>
                </c:pt>
                <c:pt idx="11">
                  <c:v>Şubat</c:v>
                </c:pt>
                <c:pt idx="12">
                  <c:v>Mart</c:v>
                </c:pt>
              </c:strCache>
            </c:strRef>
          </c:cat>
          <c:val>
            <c:numRef>
              <c:f>'endeks sonuçları'!$DB$4:$DN$4</c:f>
              <c:numCache>
                <c:formatCode>General</c:formatCode>
                <c:ptCount val="13"/>
                <c:pt idx="0">
                  <c:v>98.949999999999989</c:v>
                </c:pt>
                <c:pt idx="1">
                  <c:v>99.699999999999989</c:v>
                </c:pt>
                <c:pt idx="2">
                  <c:v>99.2</c:v>
                </c:pt>
                <c:pt idx="3">
                  <c:v>99.5</c:v>
                </c:pt>
                <c:pt idx="4">
                  <c:v>100.30000000000001</c:v>
                </c:pt>
                <c:pt idx="5">
                  <c:v>99.699999999999989</c:v>
                </c:pt>
                <c:pt idx="6">
                  <c:v>99.800000000000011</c:v>
                </c:pt>
                <c:pt idx="7">
                  <c:v>99.699999999999989</c:v>
                </c:pt>
                <c:pt idx="8">
                  <c:v>99.800000000000011</c:v>
                </c:pt>
                <c:pt idx="9">
                  <c:v>99.6</c:v>
                </c:pt>
                <c:pt idx="10">
                  <c:v>99.7</c:v>
                </c:pt>
                <c:pt idx="11">
                  <c:v>99.3</c:v>
                </c:pt>
                <c:pt idx="12">
                  <c:v>99.7</c:v>
                </c:pt>
              </c:numCache>
            </c:numRef>
          </c:val>
          <c:smooth val="0"/>
          <c:extLst>
            <c:ext xmlns:c16="http://schemas.microsoft.com/office/drawing/2014/chart" uri="{C3380CC4-5D6E-409C-BE32-E72D297353CC}">
              <c16:uniqueId val="{00000002-F14D-4333-AA2D-7568365D7355}"/>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sonuçları'!$DB$1:$DN$1</c:f>
              <c:strCache>
                <c:ptCount val="13"/>
                <c:pt idx="0">
                  <c:v>Mart</c:v>
                </c:pt>
                <c:pt idx="1">
                  <c:v>Nisan</c:v>
                </c:pt>
                <c:pt idx="2">
                  <c:v>Mayıs</c:v>
                </c:pt>
                <c:pt idx="3">
                  <c:v>Haziran</c:v>
                </c:pt>
                <c:pt idx="4">
                  <c:v>Temmuz</c:v>
                </c:pt>
                <c:pt idx="5">
                  <c:v>Ağustos</c:v>
                </c:pt>
                <c:pt idx="6">
                  <c:v>Eylül</c:v>
                </c:pt>
                <c:pt idx="7">
                  <c:v>Ekim</c:v>
                </c:pt>
                <c:pt idx="8">
                  <c:v>Kasım</c:v>
                </c:pt>
                <c:pt idx="9">
                  <c:v>Aralık</c:v>
                </c:pt>
                <c:pt idx="10">
                  <c:v>2026 Ocak</c:v>
                </c:pt>
                <c:pt idx="11">
                  <c:v>Şubat</c:v>
                </c:pt>
                <c:pt idx="12">
                  <c:v>Mart</c:v>
                </c:pt>
              </c:strCache>
            </c:strRef>
          </c:cat>
          <c:val>
            <c:numRef>
              <c:f>'endeks sonuçları'!$DB$5:$DN$5</c:f>
              <c:numCache>
                <c:formatCode>0.0</c:formatCode>
                <c:ptCount val="13"/>
                <c:pt idx="0">
                  <c:v>99.233333333333334</c:v>
                </c:pt>
                <c:pt idx="1">
                  <c:v>99.444444444444443</c:v>
                </c:pt>
                <c:pt idx="2">
                  <c:v>99.455555555555563</c:v>
                </c:pt>
                <c:pt idx="3">
                  <c:v>99.188888888888883</c:v>
                </c:pt>
                <c:pt idx="4">
                  <c:v>100.25555555555557</c:v>
                </c:pt>
                <c:pt idx="5">
                  <c:v>99.666666666666671</c:v>
                </c:pt>
                <c:pt idx="6">
                  <c:v>99.544444444444437</c:v>
                </c:pt>
                <c:pt idx="7">
                  <c:v>99.62222222222222</c:v>
                </c:pt>
                <c:pt idx="8">
                  <c:v>99.677777777777791</c:v>
                </c:pt>
                <c:pt idx="9">
                  <c:v>99.422222222222217</c:v>
                </c:pt>
                <c:pt idx="10">
                  <c:v>99</c:v>
                </c:pt>
                <c:pt idx="11">
                  <c:v>99.477777777777774</c:v>
                </c:pt>
                <c:pt idx="12">
                  <c:v>99.444444444444443</c:v>
                </c:pt>
              </c:numCache>
            </c:numRef>
          </c:val>
          <c:smooth val="0"/>
          <c:extLst>
            <c:ext xmlns:c16="http://schemas.microsoft.com/office/drawing/2014/chart" uri="{C3380CC4-5D6E-409C-BE32-E72D297353CC}">
              <c16:uniqueId val="{00000003-F14D-4333-AA2D-7568365D7355}"/>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sonuçları'!$DB$1:$DN$1</c:f>
              <c:strCache>
                <c:ptCount val="13"/>
                <c:pt idx="0">
                  <c:v>Mart</c:v>
                </c:pt>
                <c:pt idx="1">
                  <c:v>Nisan</c:v>
                </c:pt>
                <c:pt idx="2">
                  <c:v>Mayıs</c:v>
                </c:pt>
                <c:pt idx="3">
                  <c:v>Haziran</c:v>
                </c:pt>
                <c:pt idx="4">
                  <c:v>Temmuz</c:v>
                </c:pt>
                <c:pt idx="5">
                  <c:v>Ağustos</c:v>
                </c:pt>
                <c:pt idx="6">
                  <c:v>Eylül</c:v>
                </c:pt>
                <c:pt idx="7">
                  <c:v>Ekim</c:v>
                </c:pt>
                <c:pt idx="8">
                  <c:v>Kasım</c:v>
                </c:pt>
                <c:pt idx="9">
                  <c:v>Aralık</c:v>
                </c:pt>
                <c:pt idx="10">
                  <c:v>2026 Ocak</c:v>
                </c:pt>
                <c:pt idx="11">
                  <c:v>Şubat</c:v>
                </c:pt>
                <c:pt idx="12">
                  <c:v>Mart</c:v>
                </c:pt>
              </c:strCache>
            </c:strRef>
          </c:cat>
          <c:val>
            <c:numRef>
              <c:f>'endeks sonuçları'!$DB$6:$DN$6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c:ext xmlns:c16="http://schemas.microsoft.com/office/drawing/2014/chart" uri="{C3380CC4-5D6E-409C-BE32-E72D297353CC}">
              <c16:uniqueId val="{00000004-F14D-4333-AA2D-7568365D7355}"/>
            </c:ext>
          </c:extLst>
        </c:ser>
        <c:dLbls>
          <c:showLegendKey val="0"/>
          <c:showVal val="1"/>
          <c:showCatName val="0"/>
          <c:showSerName val="0"/>
          <c:showPercent val="0"/>
          <c:showBubbleSize val="0"/>
        </c:dLbls>
        <c:smooth val="0"/>
        <c:axId val="148600320"/>
        <c:axId val="179912000"/>
      </c:lineChart>
      <c:catAx>
        <c:axId val="148600320"/>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79912000"/>
        <c:crosses val="autoZero"/>
        <c:auto val="1"/>
        <c:lblAlgn val="ctr"/>
        <c:lblOffset val="100"/>
        <c:noMultiLvlLbl val="0"/>
      </c:catAx>
      <c:valAx>
        <c:axId val="179912000"/>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48600320"/>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C32-4A24-8338-6C8C11996952}"/>
                </c:ext>
              </c:extLst>
            </c:dLbl>
            <c:dLbl>
              <c:idx val="1"/>
              <c:layout>
                <c:manualLayout>
                  <c:x val="-1.1876159152876401E-3"/>
                  <c:y val="-4.1666666666666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C32-4A24-8338-6C8C11996952}"/>
                </c:ext>
              </c:extLst>
            </c:dLbl>
            <c:dLbl>
              <c:idx val="2"/>
              <c:layout>
                <c:manualLayout>
                  <c:x val="0"/>
                  <c:y val="-4.16666666666666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C32-4A24-8338-6C8C11996952}"/>
                </c:ext>
              </c:extLst>
            </c:dLbl>
            <c:dLbl>
              <c:idx val="3"/>
              <c:layout>
                <c:manualLayout>
                  <c:x val="9.3697859497864696E-4"/>
                  <c:y val="-1.94818405599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C32-4A24-8338-6C8C11996952}"/>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sonuçları'!$DO$2:$DO$5</c:f>
              <c:numCache>
                <c:formatCode>0.0%</c:formatCode>
                <c:ptCount val="4"/>
                <c:pt idx="0">
                  <c:v>-7.6590076590077908E-3</c:v>
                </c:pt>
                <c:pt idx="1">
                  <c:v>6.588950836289827E-3</c:v>
                </c:pt>
                <c:pt idx="2">
                  <c:v>7.579585649317982E-3</c:v>
                </c:pt>
                <c:pt idx="3">
                  <c:v>2.1274213413951149E-3</c:v>
                </c:pt>
              </c:numCache>
            </c:numRef>
          </c:val>
          <c:extLst>
            <c:ext xmlns:c16="http://schemas.microsoft.com/office/drawing/2014/chart" uri="{C3380CC4-5D6E-409C-BE32-E72D297353CC}">
              <c16:uniqueId val="{00000004-1C32-4A24-8338-6C8C11996952}"/>
            </c:ext>
          </c:extLst>
        </c:ser>
        <c:dLbls>
          <c:showLegendKey val="0"/>
          <c:showVal val="0"/>
          <c:showCatName val="0"/>
          <c:showSerName val="0"/>
          <c:showPercent val="0"/>
          <c:showBubbleSize val="0"/>
        </c:dLbls>
        <c:gapWidth val="150"/>
        <c:shape val="box"/>
        <c:axId val="148602368"/>
        <c:axId val="50086464"/>
        <c:axId val="0"/>
      </c:bar3DChart>
      <c:catAx>
        <c:axId val="148602368"/>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50086464"/>
        <c:crosses val="autoZero"/>
        <c:auto val="1"/>
        <c:lblAlgn val="ctr"/>
        <c:lblOffset val="100"/>
        <c:noMultiLvlLbl val="0"/>
      </c:catAx>
      <c:valAx>
        <c:axId val="50086464"/>
        <c:scaling>
          <c:orientation val="minMax"/>
          <c:min val="-0.03"/>
        </c:scaling>
        <c:delete val="0"/>
        <c:axPos val="b"/>
        <c:numFmt formatCode="0.0%" sourceLinked="1"/>
        <c:majorTickMark val="out"/>
        <c:minorTickMark val="none"/>
        <c:tickLblPos val="nextTo"/>
        <c:txPr>
          <a:bodyPr/>
          <a:lstStyle/>
          <a:p>
            <a:pPr>
              <a:defRPr lang="tr-TR"/>
            </a:pPr>
            <a:endParaRPr lang="tr-TR"/>
          </a:p>
        </c:txPr>
        <c:crossAx val="148602368"/>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1AC9C-5AF4-45B6-976A-EFDB0629D497}">
  <ds:schemaRefs>
    <ds:schemaRef ds:uri="http://schemas.openxmlformats.org/officeDocument/2006/bibliography"/>
  </ds:schemaRefs>
</ds:datastoreItem>
</file>

<file path=customXml/itemProps2.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A814A7-E8B6-40E8-95D9-395D89582D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1140</Words>
  <Characters>6503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6</cp:revision>
  <cp:lastPrinted>2026-04-17T06:36:00Z</cp:lastPrinted>
  <dcterms:created xsi:type="dcterms:W3CDTF">2026-04-15T11:56:00Z</dcterms:created>
  <dcterms:modified xsi:type="dcterms:W3CDTF">2026-04-17T06:37:00Z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