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chart2.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936CBF" w14:textId="3D973870" w:rsidR="009108C0" w:rsidRDefault="00BC1E27" w:rsidP="004017EF">
      <w:pPr>
        <w:pStyle w:val="AralkYok"/>
        <w:jc w:val="center"/>
        <w:rPr>
          <w:sz w:val="24"/>
          <w:szCs w:val="24"/>
          <w:u w:val="single"/>
        </w:rPr>
      </w:pPr>
      <w:bookmarkStart w:id="0" w:name="_GoBack"/>
      <w:bookmarkEnd w:id="0"/>
      <w:r w:rsidRPr="0022066D">
        <w:rPr>
          <w:noProof/>
        </w:rPr>
        <w:drawing>
          <wp:inline distT="0" distB="0" distL="0" distR="0" wp14:anchorId="7C609653" wp14:editId="2073D615">
            <wp:extent cx="848563" cy="848563"/>
            <wp:effectExtent l="0" t="0" r="8890" b="8890"/>
            <wp:docPr id="2" name="Resim 2" descr="http://www.thbb.org/media/152843/thbb-zeminsiz-web.jpg?width=140&amp;height=140"/>
            <wp:cNvGraphicFramePr/>
            <a:graphic xmlns:a="http://schemas.openxmlformats.org/drawingml/2006/main">
              <a:graphicData uri="http://schemas.openxmlformats.org/drawingml/2006/picture">
                <pic:pic xmlns:pic="http://schemas.openxmlformats.org/drawingml/2006/picture">
                  <pic:nvPicPr>
                    <pic:cNvPr id="2" name="Resim 2" descr="http://www.thbb.org/media/152843/thbb-zeminsiz-web.jpg?width=140&amp;height=140"/>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47675" cy="847675"/>
                    </a:xfrm>
                    <a:prstGeom prst="rect">
                      <a:avLst/>
                    </a:prstGeom>
                    <a:noFill/>
                    <a:ln>
                      <a:noFill/>
                    </a:ln>
                  </pic:spPr>
                </pic:pic>
              </a:graphicData>
            </a:graphic>
          </wp:inline>
        </w:drawing>
      </w:r>
    </w:p>
    <w:p w14:paraId="79A86A3E" w14:textId="666E20D8" w:rsidR="00BC1E27" w:rsidRDefault="00BC1E27" w:rsidP="009108C0">
      <w:pPr>
        <w:rPr>
          <w:rFonts w:ascii="Arial" w:hAnsi="Arial" w:cs="Arial"/>
          <w:b/>
          <w:szCs w:val="24"/>
          <w:u w:val="single"/>
        </w:rPr>
      </w:pPr>
      <w:r w:rsidRPr="00CC5A59">
        <w:rPr>
          <w:rFonts w:ascii="Arial" w:hAnsi="Arial" w:cs="Arial"/>
          <w:b/>
          <w:szCs w:val="24"/>
          <w:u w:val="single"/>
        </w:rPr>
        <w:t>BASIN BÜLTENİ</w:t>
      </w:r>
      <w:r w:rsidRPr="00CC5A59">
        <w:rPr>
          <w:rFonts w:ascii="Arial" w:hAnsi="Arial" w:cs="Arial"/>
          <w:b/>
          <w:szCs w:val="24"/>
          <w:u w:val="single"/>
        </w:rPr>
        <w:tab/>
      </w:r>
      <w:r w:rsidRPr="00CC5A59">
        <w:rPr>
          <w:rFonts w:ascii="Arial" w:hAnsi="Arial" w:cs="Arial"/>
          <w:b/>
          <w:szCs w:val="24"/>
          <w:u w:val="single"/>
        </w:rPr>
        <w:tab/>
      </w:r>
      <w:r w:rsidRPr="00CC5A59">
        <w:rPr>
          <w:rFonts w:ascii="Arial" w:hAnsi="Arial" w:cs="Arial"/>
          <w:b/>
          <w:szCs w:val="24"/>
          <w:u w:val="single"/>
        </w:rPr>
        <w:tab/>
      </w:r>
      <w:r w:rsidRPr="00CC5A59">
        <w:rPr>
          <w:rFonts w:ascii="Arial" w:hAnsi="Arial" w:cs="Arial"/>
          <w:b/>
          <w:szCs w:val="24"/>
          <w:u w:val="single"/>
        </w:rPr>
        <w:tab/>
      </w:r>
      <w:r w:rsidRPr="00CC5A59">
        <w:rPr>
          <w:rFonts w:ascii="Arial" w:hAnsi="Arial" w:cs="Arial"/>
          <w:b/>
          <w:szCs w:val="24"/>
          <w:u w:val="single"/>
        </w:rPr>
        <w:tab/>
      </w:r>
      <w:r w:rsidRPr="00C17496">
        <w:rPr>
          <w:rFonts w:ascii="Arial" w:hAnsi="Arial" w:cs="Arial"/>
          <w:b/>
          <w:color w:val="0D0D0D" w:themeColor="text1" w:themeTint="F2"/>
          <w:szCs w:val="24"/>
          <w:u w:val="single"/>
        </w:rPr>
        <w:t xml:space="preserve">   </w:t>
      </w:r>
      <w:r w:rsidR="00D30D13" w:rsidRPr="00C17496">
        <w:rPr>
          <w:rFonts w:ascii="Arial" w:hAnsi="Arial" w:cs="Arial"/>
          <w:b/>
          <w:color w:val="0D0D0D" w:themeColor="text1" w:themeTint="F2"/>
          <w:szCs w:val="24"/>
          <w:u w:val="single"/>
        </w:rPr>
        <w:t xml:space="preserve">                        </w:t>
      </w:r>
      <w:r w:rsidR="00310050" w:rsidRPr="00C17496">
        <w:rPr>
          <w:rFonts w:ascii="Arial" w:hAnsi="Arial" w:cs="Arial"/>
          <w:b/>
          <w:color w:val="0D0D0D" w:themeColor="text1" w:themeTint="F2"/>
          <w:szCs w:val="24"/>
          <w:u w:val="single"/>
        </w:rPr>
        <w:t xml:space="preserve">       </w:t>
      </w:r>
      <w:r w:rsidR="00E00B13" w:rsidRPr="00C17496">
        <w:rPr>
          <w:rFonts w:ascii="Arial" w:hAnsi="Arial" w:cs="Arial"/>
          <w:b/>
          <w:color w:val="0D0D0D" w:themeColor="text1" w:themeTint="F2"/>
          <w:szCs w:val="24"/>
          <w:u w:val="single"/>
        </w:rPr>
        <w:t xml:space="preserve"> </w:t>
      </w:r>
      <w:r w:rsidR="00BA1ACC">
        <w:rPr>
          <w:rFonts w:ascii="Arial" w:hAnsi="Arial" w:cs="Arial"/>
          <w:b/>
          <w:color w:val="0D0D0D" w:themeColor="text1" w:themeTint="F2"/>
          <w:szCs w:val="24"/>
          <w:u w:val="single"/>
        </w:rPr>
        <w:t xml:space="preserve"> </w:t>
      </w:r>
      <w:r w:rsidR="00054AC3">
        <w:rPr>
          <w:rFonts w:ascii="Arial" w:hAnsi="Arial" w:cs="Arial"/>
          <w:b/>
          <w:color w:val="0D0D0D" w:themeColor="text1" w:themeTint="F2"/>
          <w:szCs w:val="24"/>
          <w:u w:val="single"/>
        </w:rPr>
        <w:t xml:space="preserve">     </w:t>
      </w:r>
      <w:r w:rsidR="0045681E">
        <w:rPr>
          <w:rFonts w:ascii="Arial" w:hAnsi="Arial" w:cs="Arial"/>
          <w:b/>
          <w:color w:val="0D0D0D" w:themeColor="text1" w:themeTint="F2"/>
          <w:szCs w:val="24"/>
          <w:u w:val="single"/>
        </w:rPr>
        <w:t xml:space="preserve">  </w:t>
      </w:r>
      <w:r w:rsidR="0045681E" w:rsidRPr="0045681E">
        <w:rPr>
          <w:rFonts w:ascii="Arial" w:hAnsi="Arial" w:cs="Arial"/>
          <w:b/>
          <w:color w:val="0D0D0D" w:themeColor="text1" w:themeTint="F2"/>
          <w:szCs w:val="24"/>
          <w:u w:val="single"/>
        </w:rPr>
        <w:t>22</w:t>
      </w:r>
      <w:r w:rsidR="00DC7111" w:rsidRPr="0045681E">
        <w:rPr>
          <w:rFonts w:ascii="Arial" w:hAnsi="Arial" w:cs="Arial"/>
          <w:b/>
          <w:color w:val="0D0D0D" w:themeColor="text1" w:themeTint="F2"/>
          <w:szCs w:val="24"/>
          <w:u w:val="single"/>
        </w:rPr>
        <w:t xml:space="preserve"> Mayıs</w:t>
      </w:r>
      <w:r w:rsidR="0045681E" w:rsidRPr="0045681E">
        <w:rPr>
          <w:rFonts w:ascii="Arial" w:hAnsi="Arial" w:cs="Arial"/>
          <w:b/>
          <w:color w:val="0D0D0D" w:themeColor="text1" w:themeTint="F2"/>
          <w:szCs w:val="24"/>
          <w:u w:val="single"/>
        </w:rPr>
        <w:t xml:space="preserve"> </w:t>
      </w:r>
      <w:r w:rsidR="007D6058" w:rsidRPr="0045681E">
        <w:rPr>
          <w:rFonts w:ascii="Arial" w:hAnsi="Arial" w:cs="Arial"/>
          <w:b/>
          <w:szCs w:val="24"/>
          <w:u w:val="single"/>
        </w:rPr>
        <w:t>2</w:t>
      </w:r>
      <w:r w:rsidR="00727AAD" w:rsidRPr="0045681E">
        <w:rPr>
          <w:rFonts w:ascii="Arial" w:hAnsi="Arial" w:cs="Arial"/>
          <w:b/>
          <w:szCs w:val="24"/>
          <w:u w:val="single"/>
        </w:rPr>
        <w:t>026</w:t>
      </w:r>
    </w:p>
    <w:p w14:paraId="1F756DFC" w14:textId="47E35515" w:rsidR="00C63576" w:rsidRDefault="00403D95" w:rsidP="008D5FA9">
      <w:pPr>
        <w:spacing w:before="120" w:after="120" w:line="264" w:lineRule="auto"/>
        <w:jc w:val="center"/>
        <w:rPr>
          <w:rFonts w:ascii="Arial" w:hAnsi="Arial" w:cs="Arial"/>
          <w:b/>
          <w:sz w:val="32"/>
          <w:szCs w:val="28"/>
        </w:rPr>
      </w:pPr>
      <w:r>
        <w:rPr>
          <w:rFonts w:ascii="Arial" w:hAnsi="Arial" w:cs="Arial"/>
          <w:b/>
          <w:sz w:val="32"/>
          <w:szCs w:val="28"/>
        </w:rPr>
        <w:t>İnşaat İkinci Çeyre</w:t>
      </w:r>
      <w:r w:rsidR="002B46E3">
        <w:rPr>
          <w:rFonts w:ascii="Arial" w:hAnsi="Arial" w:cs="Arial"/>
          <w:b/>
          <w:sz w:val="32"/>
          <w:szCs w:val="28"/>
        </w:rPr>
        <w:t>ğ</w:t>
      </w:r>
      <w:r>
        <w:rPr>
          <w:rFonts w:ascii="Arial" w:hAnsi="Arial" w:cs="Arial"/>
          <w:b/>
          <w:sz w:val="32"/>
          <w:szCs w:val="28"/>
        </w:rPr>
        <w:t>e Pozitif Başladı</w:t>
      </w:r>
    </w:p>
    <w:p w14:paraId="1C77AC72" w14:textId="3EB0ABE5" w:rsidR="00C63576" w:rsidRDefault="00BC1E27" w:rsidP="0075174E">
      <w:pPr>
        <w:spacing w:before="120" w:after="120" w:line="264" w:lineRule="auto"/>
        <w:jc w:val="both"/>
        <w:rPr>
          <w:rFonts w:ascii="Arial" w:hAnsi="Arial" w:cs="Arial"/>
          <w:b/>
        </w:rPr>
      </w:pPr>
      <w:r w:rsidRPr="00A763F7">
        <w:rPr>
          <w:rFonts w:ascii="Arial" w:hAnsi="Arial" w:cs="Arial"/>
          <w:b/>
        </w:rPr>
        <w:t xml:space="preserve">Türkiye Hazır Beton Birliği (THBB), her ay merakla beklenen inşaat </w:t>
      </w:r>
      <w:r w:rsidR="00177525" w:rsidRPr="00A763F7">
        <w:rPr>
          <w:rFonts w:ascii="Arial" w:hAnsi="Arial" w:cs="Arial"/>
          <w:b/>
        </w:rPr>
        <w:t>ile</w:t>
      </w:r>
      <w:r w:rsidRPr="00A763F7">
        <w:rPr>
          <w:rFonts w:ascii="Arial" w:hAnsi="Arial" w:cs="Arial"/>
          <w:b/>
        </w:rPr>
        <w:t xml:space="preserve"> bağlantılı imalat ve hizmet sektörlerindeki mevcut durum ile beklenen gelişmeleri </w:t>
      </w:r>
      <w:r w:rsidR="007C60D3" w:rsidRPr="00A763F7">
        <w:rPr>
          <w:rFonts w:ascii="Arial" w:hAnsi="Arial" w:cs="Arial"/>
          <w:b/>
        </w:rPr>
        <w:t xml:space="preserve">gösteren </w:t>
      </w:r>
      <w:r w:rsidR="00744C20">
        <w:rPr>
          <w:rFonts w:ascii="Arial" w:hAnsi="Arial" w:cs="Arial"/>
          <w:b/>
        </w:rPr>
        <w:t>“Hazır Beton Endeksi” 2026</w:t>
      </w:r>
      <w:r w:rsidR="007715D0" w:rsidRPr="00A763F7">
        <w:rPr>
          <w:rFonts w:ascii="Arial" w:hAnsi="Arial" w:cs="Arial"/>
          <w:b/>
        </w:rPr>
        <w:t xml:space="preserve"> </w:t>
      </w:r>
      <w:r w:rsidR="00403D95">
        <w:rPr>
          <w:rFonts w:ascii="Arial" w:hAnsi="Arial" w:cs="Arial"/>
          <w:b/>
        </w:rPr>
        <w:t xml:space="preserve">Nisan </w:t>
      </w:r>
      <w:r w:rsidRPr="00A763F7">
        <w:rPr>
          <w:rFonts w:ascii="Arial" w:hAnsi="Arial" w:cs="Arial"/>
          <w:b/>
        </w:rPr>
        <w:t>Ayı Raporu’nu açıkladı</w:t>
      </w:r>
      <w:r w:rsidR="00AB352F" w:rsidRPr="00A763F7">
        <w:rPr>
          <w:rFonts w:ascii="Arial" w:hAnsi="Arial" w:cs="Arial"/>
          <w:b/>
        </w:rPr>
        <w:t>.</w:t>
      </w:r>
      <w:r w:rsidR="003459BE" w:rsidRPr="00A763F7">
        <w:rPr>
          <w:rFonts w:ascii="Arial" w:hAnsi="Arial" w:cs="Arial"/>
          <w:b/>
        </w:rPr>
        <w:t xml:space="preserve"> </w:t>
      </w:r>
      <w:r w:rsidR="00DC7111" w:rsidRPr="00DC7111">
        <w:rPr>
          <w:rFonts w:ascii="Arial" w:hAnsi="Arial" w:cs="Arial"/>
          <w:b/>
        </w:rPr>
        <w:t xml:space="preserve">2026 yılının ilk çeyreğindeki dalgalı seyrin ardından, nisan ayı verileri sektörün </w:t>
      </w:r>
      <w:r w:rsidR="008C055C">
        <w:rPr>
          <w:rFonts w:ascii="Arial" w:hAnsi="Arial" w:cs="Arial"/>
          <w:b/>
        </w:rPr>
        <w:t xml:space="preserve">yıllık </w:t>
      </w:r>
      <w:proofErr w:type="gramStart"/>
      <w:r w:rsidR="008C055C">
        <w:rPr>
          <w:rFonts w:ascii="Arial" w:hAnsi="Arial" w:cs="Arial"/>
          <w:b/>
        </w:rPr>
        <w:t>bazda</w:t>
      </w:r>
      <w:proofErr w:type="gramEnd"/>
      <w:r w:rsidR="008C055C">
        <w:rPr>
          <w:rFonts w:ascii="Arial" w:hAnsi="Arial" w:cs="Arial"/>
          <w:b/>
        </w:rPr>
        <w:t xml:space="preserve"> zayıf ama bir </w:t>
      </w:r>
      <w:r w:rsidR="00DC7111" w:rsidRPr="00DC7111">
        <w:rPr>
          <w:rFonts w:ascii="Arial" w:hAnsi="Arial" w:cs="Arial"/>
          <w:b/>
        </w:rPr>
        <w:t xml:space="preserve">toparlanma çabası içinde olduğunu </w:t>
      </w:r>
      <w:r w:rsidR="008C055C">
        <w:rPr>
          <w:rFonts w:ascii="Arial" w:hAnsi="Arial" w:cs="Arial"/>
          <w:b/>
        </w:rPr>
        <w:t>ortaya koydu.</w:t>
      </w:r>
    </w:p>
    <w:p w14:paraId="49949D67" w14:textId="11E51588" w:rsidR="00BF2BDC" w:rsidRPr="008E36DA" w:rsidRDefault="00BC1E27" w:rsidP="0075174E">
      <w:pPr>
        <w:spacing w:before="120" w:after="120" w:line="264" w:lineRule="auto"/>
        <w:jc w:val="both"/>
        <w:rPr>
          <w:rFonts w:ascii="Arial" w:hAnsi="Arial" w:cs="Arial"/>
        </w:rPr>
      </w:pPr>
      <w:r w:rsidRPr="008E36DA">
        <w:rPr>
          <w:rFonts w:ascii="Arial" w:hAnsi="Arial" w:cs="Arial"/>
        </w:rPr>
        <w:t xml:space="preserve">Türkiye Hazır Beton Birliği (THBB) </w:t>
      </w:r>
      <w:r w:rsidR="006A7E7B" w:rsidRPr="008E36DA">
        <w:rPr>
          <w:rFonts w:ascii="Arial" w:hAnsi="Arial" w:cs="Arial"/>
        </w:rPr>
        <w:t>her ay açıkladığı Hazır Beton Endeksi ile Türkiye’de inşaat sektörü ve bağlantılı imalat ve hizmet sektörlerindeki mevcut durumu ve beklenen gelişmeleri ortaya koymaktadır.</w:t>
      </w:r>
      <w:r w:rsidR="00BF2BDC" w:rsidRPr="008E36DA">
        <w:rPr>
          <w:rFonts w:ascii="Arial" w:hAnsi="Arial" w:cs="Arial"/>
        </w:rPr>
        <w:t xml:space="preserve"> İnşaat sektörünün en temel girdilerinden biri olan ve aynı zamanda üretiminden sonra kısa bir süre içerisinde stoklanmadan inşaatlarda kullanılan hazır betonla ilgili bu Endeks, inşaat sektörünün büyüme hızını ortaya koyan öncü bir göstergedir.</w:t>
      </w:r>
    </w:p>
    <w:p w14:paraId="34968FD8" w14:textId="031E00BA" w:rsidR="00403D95" w:rsidRPr="00403D95" w:rsidRDefault="00042A9E" w:rsidP="00403D95">
      <w:pPr>
        <w:spacing w:before="120" w:after="120" w:line="264" w:lineRule="auto"/>
        <w:jc w:val="both"/>
        <w:rPr>
          <w:rFonts w:ascii="Arial" w:hAnsi="Arial" w:cs="Arial"/>
        </w:rPr>
      </w:pPr>
      <w:r w:rsidRPr="008E36DA">
        <w:rPr>
          <w:rFonts w:ascii="Arial" w:hAnsi="Arial" w:cs="Arial"/>
        </w:rPr>
        <w:t>Hazır Beton Endeks</w:t>
      </w:r>
      <w:r w:rsidR="00F33027" w:rsidRPr="008E36DA">
        <w:rPr>
          <w:rFonts w:ascii="Arial" w:hAnsi="Arial" w:cs="Arial"/>
        </w:rPr>
        <w:t>i</w:t>
      </w:r>
      <w:r w:rsidR="00B96BC0" w:rsidRPr="008E36DA">
        <w:rPr>
          <w:rFonts w:ascii="Arial" w:hAnsi="Arial" w:cs="Arial"/>
        </w:rPr>
        <w:t xml:space="preserve"> </w:t>
      </w:r>
      <w:r w:rsidR="00744C20">
        <w:rPr>
          <w:rFonts w:ascii="Arial" w:hAnsi="Arial" w:cs="Arial"/>
        </w:rPr>
        <w:t>2026</w:t>
      </w:r>
      <w:r w:rsidR="00A95C9D">
        <w:rPr>
          <w:rFonts w:ascii="Arial" w:hAnsi="Arial" w:cs="Arial"/>
        </w:rPr>
        <w:t xml:space="preserve"> </w:t>
      </w:r>
      <w:r w:rsidR="00403D95">
        <w:rPr>
          <w:rFonts w:ascii="Arial" w:hAnsi="Arial" w:cs="Arial"/>
        </w:rPr>
        <w:t>Nisan</w:t>
      </w:r>
      <w:r w:rsidR="00F1456F">
        <w:rPr>
          <w:rFonts w:ascii="Arial" w:hAnsi="Arial" w:cs="Arial"/>
        </w:rPr>
        <w:t xml:space="preserve"> </w:t>
      </w:r>
      <w:r w:rsidR="00177525" w:rsidRPr="008E36DA">
        <w:rPr>
          <w:rFonts w:ascii="Arial" w:hAnsi="Arial" w:cs="Arial"/>
        </w:rPr>
        <w:t>Ayı R</w:t>
      </w:r>
      <w:r w:rsidR="00A4709D" w:rsidRPr="008E36DA">
        <w:rPr>
          <w:rFonts w:ascii="Arial" w:hAnsi="Arial" w:cs="Arial"/>
        </w:rPr>
        <w:t>apor</w:t>
      </w:r>
      <w:r w:rsidR="00A22047" w:rsidRPr="008E36DA">
        <w:rPr>
          <w:rFonts w:ascii="Arial" w:hAnsi="Arial" w:cs="Arial"/>
        </w:rPr>
        <w:t>u</w:t>
      </w:r>
      <w:r w:rsidR="00177525" w:rsidRPr="008E36DA">
        <w:rPr>
          <w:rFonts w:ascii="Arial" w:hAnsi="Arial" w:cs="Arial"/>
        </w:rPr>
        <w:t>’</w:t>
      </w:r>
      <w:r w:rsidR="00A22047" w:rsidRPr="008E36DA">
        <w:rPr>
          <w:rFonts w:ascii="Arial" w:hAnsi="Arial" w:cs="Arial"/>
        </w:rPr>
        <w:t>na</w:t>
      </w:r>
      <w:r w:rsidR="005B47D9">
        <w:rPr>
          <w:rFonts w:ascii="Arial" w:hAnsi="Arial" w:cs="Arial"/>
        </w:rPr>
        <w:t xml:space="preserve"> göre </w:t>
      </w:r>
      <w:r w:rsidR="00403D95">
        <w:rPr>
          <w:rFonts w:ascii="Arial" w:hAnsi="Arial" w:cs="Arial"/>
        </w:rPr>
        <w:t>t</w:t>
      </w:r>
      <w:r w:rsidR="00403D95" w:rsidRPr="00403D95">
        <w:rPr>
          <w:rFonts w:ascii="Arial" w:hAnsi="Arial" w:cs="Arial"/>
        </w:rPr>
        <w:t xml:space="preserve">üm endeksler 2025 yılının büyük bölümünde eşik değerin altında dalgalı bir seyir izledikten sonra, yılın son çeyreğinde sınırlı bir toparlanma eğilimi göstermiş, ancak 2026 </w:t>
      </w:r>
      <w:proofErr w:type="gramStart"/>
      <w:r w:rsidR="005E2953">
        <w:rPr>
          <w:rFonts w:ascii="Arial" w:hAnsi="Arial" w:cs="Arial"/>
        </w:rPr>
        <w:t>o</w:t>
      </w:r>
      <w:r w:rsidR="00403D95" w:rsidRPr="00403D95">
        <w:rPr>
          <w:rFonts w:ascii="Arial" w:hAnsi="Arial" w:cs="Arial"/>
        </w:rPr>
        <w:t>cak</w:t>
      </w:r>
      <w:proofErr w:type="gramEnd"/>
      <w:r w:rsidR="00403D95" w:rsidRPr="00403D95">
        <w:rPr>
          <w:rFonts w:ascii="Arial" w:hAnsi="Arial" w:cs="Arial"/>
        </w:rPr>
        <w:t xml:space="preserve"> ayında bu toparlanma yerini yeniden zayıflamaya bırakmıştır. Şubat ayındaki toparlanma çabası ve mart ayındaki dalgalı seyrin ardından, nisan ayı itibarıyla tüm endekslerde yukarı yönlü güçlü bir hareketlilik </w:t>
      </w:r>
      <w:r w:rsidR="005E2953" w:rsidRPr="005E2953">
        <w:rPr>
          <w:rFonts w:ascii="Arial" w:hAnsi="Arial" w:cs="Arial"/>
        </w:rPr>
        <w:t>gözlenmektedir</w:t>
      </w:r>
      <w:r w:rsidR="00403D95" w:rsidRPr="00403D95">
        <w:rPr>
          <w:rFonts w:ascii="Arial" w:hAnsi="Arial" w:cs="Arial"/>
        </w:rPr>
        <w:t>.</w:t>
      </w:r>
    </w:p>
    <w:p w14:paraId="4FFED125" w14:textId="14B3A17D" w:rsidR="00403D95" w:rsidRPr="00403D95" w:rsidRDefault="00403D95" w:rsidP="00403D95">
      <w:pPr>
        <w:spacing w:before="120" w:after="120" w:line="264" w:lineRule="auto"/>
        <w:jc w:val="both"/>
        <w:rPr>
          <w:rFonts w:ascii="Arial" w:hAnsi="Arial" w:cs="Arial"/>
        </w:rPr>
      </w:pPr>
      <w:r w:rsidRPr="00403D95">
        <w:rPr>
          <w:rFonts w:ascii="Arial" w:hAnsi="Arial" w:cs="Arial"/>
        </w:rPr>
        <w:t xml:space="preserve">Güven Endeksi, mart ayındaki sınırlı gerilemenin ardından </w:t>
      </w:r>
      <w:r>
        <w:rPr>
          <w:rFonts w:ascii="Arial" w:hAnsi="Arial" w:cs="Arial"/>
        </w:rPr>
        <w:t>n</w:t>
      </w:r>
      <w:r w:rsidRPr="00403D95">
        <w:rPr>
          <w:rFonts w:ascii="Arial" w:hAnsi="Arial" w:cs="Arial"/>
        </w:rPr>
        <w:t xml:space="preserve">isan ayında yeniden yükselişe geçmiştir. Endeks, eşik değerin altında kalmaya devam etse de son ayların en yüksek seviyelerinden birine ulaşmıştır. Bu durum, sektördeki güven algısının toparlanma eğilimini </w:t>
      </w:r>
      <w:r w:rsidR="005E2953" w:rsidRPr="00403D95">
        <w:rPr>
          <w:rFonts w:ascii="Arial" w:hAnsi="Arial" w:cs="Arial"/>
        </w:rPr>
        <w:t xml:space="preserve">zayıf da olsa </w:t>
      </w:r>
      <w:r w:rsidRPr="00403D95">
        <w:rPr>
          <w:rFonts w:ascii="Arial" w:hAnsi="Arial" w:cs="Arial"/>
        </w:rPr>
        <w:t>yeniden yakaladığına işaret etmektedir.</w:t>
      </w:r>
    </w:p>
    <w:p w14:paraId="08549AA7" w14:textId="700248B7" w:rsidR="00403D95" w:rsidRPr="00403D95" w:rsidRDefault="00403D95" w:rsidP="00403D95">
      <w:pPr>
        <w:spacing w:before="120" w:after="120" w:line="264" w:lineRule="auto"/>
        <w:jc w:val="both"/>
        <w:rPr>
          <w:rFonts w:ascii="Arial" w:hAnsi="Arial" w:cs="Arial"/>
        </w:rPr>
      </w:pPr>
      <w:r w:rsidRPr="00403D95">
        <w:rPr>
          <w:rFonts w:ascii="Arial" w:hAnsi="Arial" w:cs="Arial"/>
        </w:rPr>
        <w:t>Faaliyet Endeksi, mart ayındaki düşüşün ardından nisan ayında çok güçlü bir ivme yakalayarak hızlı</w:t>
      </w:r>
      <w:r>
        <w:rPr>
          <w:rFonts w:ascii="Arial" w:hAnsi="Arial" w:cs="Arial"/>
        </w:rPr>
        <w:t xml:space="preserve"> </w:t>
      </w:r>
      <w:r w:rsidRPr="00403D95">
        <w:rPr>
          <w:rFonts w:ascii="Arial" w:hAnsi="Arial" w:cs="Arial"/>
        </w:rPr>
        <w:t>bir yükseliş göstermiş ve</w:t>
      </w:r>
      <w:r>
        <w:rPr>
          <w:rFonts w:ascii="Arial" w:hAnsi="Arial" w:cs="Arial"/>
        </w:rPr>
        <w:t xml:space="preserve"> </w:t>
      </w:r>
      <w:r w:rsidRPr="00403D95">
        <w:rPr>
          <w:rFonts w:ascii="Arial" w:hAnsi="Arial" w:cs="Arial"/>
        </w:rPr>
        <w:t xml:space="preserve">eşik değerinin üzerine çıkmayı başarmıştır. Faaliyet Endeksi'nin önümüzdeki aylarda </w:t>
      </w:r>
      <w:r w:rsidR="005E2953">
        <w:rPr>
          <w:rFonts w:ascii="Arial" w:hAnsi="Arial" w:cs="Arial"/>
        </w:rPr>
        <w:t xml:space="preserve">da </w:t>
      </w:r>
      <w:r w:rsidRPr="00403D95">
        <w:rPr>
          <w:rFonts w:ascii="Arial" w:hAnsi="Arial" w:cs="Arial"/>
        </w:rPr>
        <w:t>eşik değerin üzerinde tutunması durumunda, sektördeki faaliyet nihayet anlamlı bir hareketlilik kazan</w:t>
      </w:r>
      <w:r w:rsidR="005E2953">
        <w:rPr>
          <w:rFonts w:ascii="Arial" w:hAnsi="Arial" w:cs="Arial"/>
        </w:rPr>
        <w:t>acaktır.</w:t>
      </w:r>
    </w:p>
    <w:p w14:paraId="30BDB716" w14:textId="42FAC835" w:rsidR="00403D95" w:rsidRPr="00403D95" w:rsidRDefault="00403D95" w:rsidP="00403D95">
      <w:pPr>
        <w:spacing w:before="120" w:after="120" w:line="264" w:lineRule="auto"/>
        <w:jc w:val="both"/>
        <w:rPr>
          <w:rFonts w:ascii="Arial" w:hAnsi="Arial" w:cs="Arial"/>
        </w:rPr>
      </w:pPr>
      <w:r w:rsidRPr="00403D95">
        <w:rPr>
          <w:rFonts w:ascii="Arial" w:hAnsi="Arial" w:cs="Arial"/>
        </w:rPr>
        <w:t xml:space="preserve">Beklenti Endeksi, mart ayında başlayan yükseliş </w:t>
      </w:r>
      <w:proofErr w:type="gramStart"/>
      <w:r w:rsidRPr="00403D95">
        <w:rPr>
          <w:rFonts w:ascii="Arial" w:hAnsi="Arial" w:cs="Arial"/>
        </w:rPr>
        <w:t>trendini</w:t>
      </w:r>
      <w:proofErr w:type="gramEnd"/>
      <w:r w:rsidRPr="00403D95">
        <w:rPr>
          <w:rFonts w:ascii="Arial" w:hAnsi="Arial" w:cs="Arial"/>
        </w:rPr>
        <w:t xml:space="preserve"> nisan ayında da sürdürmüştür. Endeksin artış eğilimini koruması, sektör oyuncularının önümüzdeki döneme ilişkin iyimserliğinin güçlenerek devam ettiğini ve geleceğe yönelik toparlanma umutlarının desteklendiğini ortaya koymaktadır</w:t>
      </w:r>
      <w:r w:rsidR="005E2953">
        <w:rPr>
          <w:rFonts w:ascii="Arial" w:hAnsi="Arial" w:cs="Arial"/>
        </w:rPr>
        <w:t>,</w:t>
      </w:r>
      <w:r w:rsidRPr="00403D95">
        <w:rPr>
          <w:rFonts w:ascii="Arial" w:hAnsi="Arial" w:cs="Arial"/>
        </w:rPr>
        <w:t xml:space="preserve"> </w:t>
      </w:r>
      <w:r w:rsidR="005E2953">
        <w:rPr>
          <w:rFonts w:ascii="Arial" w:hAnsi="Arial" w:cs="Arial"/>
        </w:rPr>
        <w:t>a</w:t>
      </w:r>
      <w:r w:rsidRPr="00403D95">
        <w:rPr>
          <w:rFonts w:ascii="Arial" w:hAnsi="Arial" w:cs="Arial"/>
        </w:rPr>
        <w:t xml:space="preserve">ncak endeks değeri hâlen istenilen </w:t>
      </w:r>
      <w:r w:rsidR="00CA5AFF">
        <w:rPr>
          <w:rFonts w:ascii="Arial" w:hAnsi="Arial" w:cs="Arial"/>
        </w:rPr>
        <w:t>seviyeye</w:t>
      </w:r>
      <w:r w:rsidR="00CA5AFF" w:rsidRPr="00403D95">
        <w:rPr>
          <w:rFonts w:ascii="Arial" w:hAnsi="Arial" w:cs="Arial"/>
        </w:rPr>
        <w:t xml:space="preserve"> </w:t>
      </w:r>
      <w:r w:rsidRPr="00403D95">
        <w:rPr>
          <w:rFonts w:ascii="Arial" w:hAnsi="Arial" w:cs="Arial"/>
        </w:rPr>
        <w:t xml:space="preserve">ulaşmamıştır. </w:t>
      </w:r>
    </w:p>
    <w:p w14:paraId="2F9B6AF6" w14:textId="29DF7F3C" w:rsidR="00403D95" w:rsidRPr="00403D95" w:rsidRDefault="00403D95" w:rsidP="00403D95">
      <w:pPr>
        <w:spacing w:before="120" w:after="120" w:line="264" w:lineRule="auto"/>
        <w:jc w:val="both"/>
        <w:rPr>
          <w:rFonts w:ascii="Arial" w:hAnsi="Arial" w:cs="Arial"/>
        </w:rPr>
      </w:pPr>
      <w:r w:rsidRPr="00403D95">
        <w:rPr>
          <w:rFonts w:ascii="Arial" w:hAnsi="Arial" w:cs="Arial"/>
        </w:rPr>
        <w:t>Hazır Beton Endeksi, ocak ayındaki dip seviyesinden sonra şubat-mart döneminde sergilediği kararsız seyri geride bırakarak, nisan ayında belirgin bir yükseliş göstermiştir</w:t>
      </w:r>
      <w:r>
        <w:rPr>
          <w:rFonts w:ascii="Arial" w:hAnsi="Arial" w:cs="Arial"/>
        </w:rPr>
        <w:t>.</w:t>
      </w:r>
      <w:r w:rsidRPr="00403D95">
        <w:rPr>
          <w:rFonts w:ascii="Arial" w:hAnsi="Arial" w:cs="Arial"/>
        </w:rPr>
        <w:t xml:space="preserve"> Alt endekslerdeki pozitif hareketin etkisiyle Hazır Beton Endeksi, eşik değere oldukça yaklaşmıştır.</w:t>
      </w:r>
    </w:p>
    <w:p w14:paraId="6EDB5323" w14:textId="7E20DC70" w:rsidR="00C833CD" w:rsidRPr="00C833CD" w:rsidRDefault="00403D95" w:rsidP="00403D95">
      <w:pPr>
        <w:spacing w:before="120" w:after="120" w:line="264" w:lineRule="auto"/>
        <w:jc w:val="both"/>
        <w:rPr>
          <w:rFonts w:ascii="Arial" w:hAnsi="Arial" w:cs="Arial"/>
        </w:rPr>
      </w:pPr>
      <w:r w:rsidRPr="00403D95">
        <w:rPr>
          <w:rFonts w:ascii="Arial" w:hAnsi="Arial" w:cs="Arial"/>
        </w:rPr>
        <w:t>Genel olarak değerlendirildiğinde, nisan ayında Faaliyet, Güven ve Beklenti Endekslerinde</w:t>
      </w:r>
      <w:r w:rsidR="005E2953">
        <w:rPr>
          <w:rFonts w:ascii="Arial" w:hAnsi="Arial" w:cs="Arial"/>
        </w:rPr>
        <w:t xml:space="preserve"> </w:t>
      </w:r>
      <w:r w:rsidRPr="00403D95">
        <w:rPr>
          <w:rFonts w:ascii="Arial" w:hAnsi="Arial" w:cs="Arial"/>
        </w:rPr>
        <w:t>toparlanma ve yükseliş dalgası görülmüştür</w:t>
      </w:r>
      <w:r>
        <w:rPr>
          <w:rFonts w:ascii="Arial" w:hAnsi="Arial" w:cs="Arial"/>
        </w:rPr>
        <w:t xml:space="preserve">. </w:t>
      </w:r>
      <w:r w:rsidRPr="00403D95">
        <w:rPr>
          <w:rFonts w:ascii="Arial" w:hAnsi="Arial" w:cs="Arial"/>
        </w:rPr>
        <w:t>Özellikle Faaliyet Endeksi'nin eşik değerin üzerine çıkması sektör için oldukça pozitif bir sinyaldir. Güven, Beklenti ve Bileşik Hazır Beton Endeksi'nin hâlen eşik değer sınırında veya altında seyretmesi temkinli duruşun tamamen bitmediğini gösterse de nisan ayı sonuçları sektör üzerindeki baskının hafiflediğini ve sektörün güç kazandığını ortaya koymaktadır.</w:t>
      </w:r>
    </w:p>
    <w:p w14:paraId="111DCD88" w14:textId="4B0BE2F5" w:rsidR="00DC7111" w:rsidRPr="00DC7111" w:rsidRDefault="00727AAD" w:rsidP="00DC7111">
      <w:pPr>
        <w:spacing w:before="120" w:after="120" w:line="264" w:lineRule="auto"/>
        <w:jc w:val="both"/>
        <w:rPr>
          <w:rFonts w:ascii="Arial" w:hAnsi="Arial" w:cs="Arial"/>
        </w:rPr>
      </w:pPr>
      <w:r>
        <w:rPr>
          <w:rFonts w:ascii="Arial" w:hAnsi="Arial" w:cs="Arial"/>
        </w:rPr>
        <w:t xml:space="preserve">Geçen yılın aynı ayına göre bakıldığında, </w:t>
      </w:r>
      <w:r w:rsidR="00DC7111">
        <w:rPr>
          <w:rFonts w:ascii="Arial" w:hAnsi="Arial" w:cs="Arial"/>
        </w:rPr>
        <w:t>n</w:t>
      </w:r>
      <w:r w:rsidR="00DC7111" w:rsidRPr="00DC7111">
        <w:rPr>
          <w:rFonts w:ascii="Arial" w:hAnsi="Arial" w:cs="Arial"/>
        </w:rPr>
        <w:t>isan ayında endekslerin yıllık değişimleri incelendiğinde, tüm göstergelerin geçen yılın aynı dönemine göre pozitif bölgede yer aldığı gö</w:t>
      </w:r>
      <w:r w:rsidR="007D6AB4">
        <w:rPr>
          <w:rFonts w:ascii="Arial" w:hAnsi="Arial" w:cs="Arial"/>
        </w:rPr>
        <w:t>rül</w:t>
      </w:r>
      <w:r w:rsidR="00DC7111" w:rsidRPr="00DC7111">
        <w:rPr>
          <w:rFonts w:ascii="Arial" w:hAnsi="Arial" w:cs="Arial"/>
        </w:rPr>
        <w:t xml:space="preserve">mektedir. Mart ayında negatif ayrışan Faaliyet Endeksi’nin de nisan ayında toparlanmasıyla birlikte, sektörün tamamında yıllık </w:t>
      </w:r>
      <w:proofErr w:type="gramStart"/>
      <w:r w:rsidR="00DC7111" w:rsidRPr="00DC7111">
        <w:rPr>
          <w:rFonts w:ascii="Arial" w:hAnsi="Arial" w:cs="Arial"/>
        </w:rPr>
        <w:t>bazda</w:t>
      </w:r>
      <w:proofErr w:type="gramEnd"/>
      <w:r w:rsidR="00DC7111" w:rsidRPr="00DC7111">
        <w:rPr>
          <w:rFonts w:ascii="Arial" w:hAnsi="Arial" w:cs="Arial"/>
        </w:rPr>
        <w:t xml:space="preserve"> sınırlı da olsa bir yükseliş trendi yakala</w:t>
      </w:r>
      <w:r w:rsidR="007D6AB4">
        <w:rPr>
          <w:rFonts w:ascii="Arial" w:hAnsi="Arial" w:cs="Arial"/>
        </w:rPr>
        <w:t>nmıştır</w:t>
      </w:r>
      <w:r w:rsidR="00DC7111" w:rsidRPr="00DC7111">
        <w:rPr>
          <w:rFonts w:ascii="Arial" w:hAnsi="Arial" w:cs="Arial"/>
        </w:rPr>
        <w:t xml:space="preserve">. Güven Endeksi %0,7 oranında yıllık artış sergileyerek iyimserlik tarafındaki güçlü duruşunu korurken, Hazır Beton Endeksi %0,4, Faaliyet Endeksi %0,3 ve Beklenti </w:t>
      </w:r>
      <w:r w:rsidR="00DC7111" w:rsidRPr="00DC7111">
        <w:rPr>
          <w:rFonts w:ascii="Arial" w:hAnsi="Arial" w:cs="Arial"/>
        </w:rPr>
        <w:lastRenderedPageBreak/>
        <w:t xml:space="preserve">Endeksi %0,1 oranında </w:t>
      </w:r>
      <w:r w:rsidR="00B659BC">
        <w:rPr>
          <w:rFonts w:ascii="Arial" w:hAnsi="Arial" w:cs="Arial"/>
        </w:rPr>
        <w:t>sınırlı</w:t>
      </w:r>
      <w:r w:rsidR="00B659BC" w:rsidRPr="00DC7111">
        <w:rPr>
          <w:rFonts w:ascii="Arial" w:hAnsi="Arial" w:cs="Arial"/>
        </w:rPr>
        <w:t xml:space="preserve"> </w:t>
      </w:r>
      <w:r w:rsidR="00DC7111" w:rsidRPr="00DC7111">
        <w:rPr>
          <w:rFonts w:ascii="Arial" w:hAnsi="Arial" w:cs="Arial"/>
        </w:rPr>
        <w:t>yükselişler göstermiştir. Bu tablo, sektörde psikolojik beklentilerin ve güvenin yanı sıra, sahadaki reel faaliyetlerin de geçen yılın aynı dönemine göre hafif bir canlanma eğilimine girdiğini ortaya koymaktadır.</w:t>
      </w:r>
    </w:p>
    <w:p w14:paraId="5F0052DB" w14:textId="6B3614AC" w:rsidR="00DC7111" w:rsidRDefault="00DC7111" w:rsidP="00DC7111">
      <w:pPr>
        <w:spacing w:before="120" w:after="120" w:line="264" w:lineRule="auto"/>
        <w:jc w:val="both"/>
        <w:rPr>
          <w:rFonts w:ascii="Arial" w:hAnsi="Arial" w:cs="Arial"/>
        </w:rPr>
      </w:pPr>
      <w:r w:rsidRPr="00DC7111">
        <w:rPr>
          <w:rFonts w:ascii="Arial" w:hAnsi="Arial" w:cs="Arial"/>
        </w:rPr>
        <w:t xml:space="preserve">2026 yılının ilk çeyreğindeki dalgalı seyrin ardından, nisan ayı verileri sektörün yıllık </w:t>
      </w:r>
      <w:proofErr w:type="gramStart"/>
      <w:r w:rsidRPr="00DC7111">
        <w:rPr>
          <w:rFonts w:ascii="Arial" w:hAnsi="Arial" w:cs="Arial"/>
        </w:rPr>
        <w:t>bazda</w:t>
      </w:r>
      <w:proofErr w:type="gramEnd"/>
      <w:r w:rsidRPr="00DC7111">
        <w:rPr>
          <w:rFonts w:ascii="Arial" w:hAnsi="Arial" w:cs="Arial"/>
        </w:rPr>
        <w:t xml:space="preserve"> zayıf ama </w:t>
      </w:r>
      <w:r w:rsidR="00CA5AFF">
        <w:rPr>
          <w:rFonts w:ascii="Arial" w:hAnsi="Arial" w:cs="Arial"/>
        </w:rPr>
        <w:t xml:space="preserve">genel </w:t>
      </w:r>
      <w:r w:rsidRPr="00DC7111">
        <w:rPr>
          <w:rFonts w:ascii="Arial" w:hAnsi="Arial" w:cs="Arial"/>
        </w:rPr>
        <w:t>bir toparlanma çabası içinde olduğunu göstermiştir</w:t>
      </w:r>
      <w:r>
        <w:rPr>
          <w:rFonts w:ascii="Arial" w:hAnsi="Arial" w:cs="Arial"/>
        </w:rPr>
        <w:t>.</w:t>
      </w:r>
      <w:r w:rsidRPr="00DC7111">
        <w:rPr>
          <w:rFonts w:ascii="Arial" w:hAnsi="Arial" w:cs="Arial"/>
        </w:rPr>
        <w:t xml:space="preserve"> Özellikle Faaliyet Endeksi’nin</w:t>
      </w:r>
      <w:r>
        <w:rPr>
          <w:rFonts w:ascii="Arial" w:hAnsi="Arial" w:cs="Arial"/>
        </w:rPr>
        <w:t xml:space="preserve"> </w:t>
      </w:r>
      <w:r w:rsidRPr="00DC7111">
        <w:rPr>
          <w:rFonts w:ascii="Arial" w:hAnsi="Arial" w:cs="Arial"/>
        </w:rPr>
        <w:t xml:space="preserve">yeniden pozitif </w:t>
      </w:r>
      <w:r>
        <w:rPr>
          <w:rFonts w:ascii="Arial" w:hAnsi="Arial" w:cs="Arial"/>
        </w:rPr>
        <w:t>tarafa</w:t>
      </w:r>
      <w:r w:rsidRPr="00DC7111">
        <w:rPr>
          <w:rFonts w:ascii="Arial" w:hAnsi="Arial" w:cs="Arial"/>
        </w:rPr>
        <w:t xml:space="preserve"> geçmesi, inşaat sektöründeki hareketliliğin nisan ayı itibarıyla </w:t>
      </w:r>
      <w:r w:rsidR="00B659BC">
        <w:rPr>
          <w:rFonts w:ascii="Arial" w:hAnsi="Arial" w:cs="Arial"/>
        </w:rPr>
        <w:t xml:space="preserve">pozitife </w:t>
      </w:r>
      <w:r w:rsidRPr="00DC7111">
        <w:rPr>
          <w:rFonts w:ascii="Arial" w:hAnsi="Arial" w:cs="Arial"/>
        </w:rPr>
        <w:t>dönüş sinyalleri verdiğine işaret etmektedir</w:t>
      </w:r>
      <w:r w:rsidR="00B659BC">
        <w:rPr>
          <w:rFonts w:ascii="Arial" w:hAnsi="Arial" w:cs="Arial"/>
        </w:rPr>
        <w:t>, a</w:t>
      </w:r>
      <w:r w:rsidRPr="00DC7111">
        <w:rPr>
          <w:rFonts w:ascii="Arial" w:hAnsi="Arial" w:cs="Arial"/>
        </w:rPr>
        <w:t>ncak tüm endekslerdeki artışların %1,0 barajının altında kalması, büyüme ivmesinin henüz oldukça kırılgan olduğunu net bir şekilde ortaya koymaktadır.</w:t>
      </w:r>
    </w:p>
    <w:p w14:paraId="44125384" w14:textId="3686BC24" w:rsidR="00FB0C03" w:rsidRDefault="00D4198C" w:rsidP="00DC7111">
      <w:pPr>
        <w:spacing w:before="120" w:after="120" w:line="264" w:lineRule="auto"/>
        <w:jc w:val="both"/>
        <w:rPr>
          <w:rFonts w:ascii="Arial" w:hAnsi="Arial" w:cs="Arial"/>
        </w:rPr>
      </w:pPr>
      <w:r w:rsidRPr="00D4198C">
        <w:rPr>
          <w:rFonts w:ascii="Arial" w:hAnsi="Arial" w:cs="Arial"/>
        </w:rPr>
        <w:t>Raporun sonuçlarını değerlendiren Türkiye Hazır Beton Birliği (THBB) Yönetim Kurulu Başkanı Yavuz Işık, “</w:t>
      </w:r>
      <w:r w:rsidR="00DC7111" w:rsidRPr="00DC7111">
        <w:rPr>
          <w:rFonts w:ascii="Arial" w:hAnsi="Arial" w:cs="Arial"/>
        </w:rPr>
        <w:t>Faaliyet, Güven ve Beklenti Endekslerinde bir toparlanma ve yükseliş dalgası görülmüştür</w:t>
      </w:r>
      <w:r w:rsidR="00DC7111">
        <w:rPr>
          <w:rFonts w:ascii="Arial" w:hAnsi="Arial" w:cs="Arial"/>
        </w:rPr>
        <w:t xml:space="preserve">. </w:t>
      </w:r>
      <w:r w:rsidR="00DC7111" w:rsidRPr="00DC7111">
        <w:rPr>
          <w:rFonts w:ascii="Arial" w:hAnsi="Arial" w:cs="Arial"/>
        </w:rPr>
        <w:t>Özellikle Faaliyet Endeksi'nin eşik değerin üzerine çıkması sektör için oldukça pozitif bir sinyaldir. Güven, Beklenti ve Bileşik Hazır Beton Endeksi'nin hâlen eşik değer sınırında veya altında seyretmesi temkinli duruşun tamamen bitmediğini gösterse de, nisan ayı sonuçları sektör üzerindeki baskının hafiflediğini ve sektörün güç kazandığını ortaya koymaktadır</w:t>
      </w:r>
      <w:r w:rsidR="006378BE">
        <w:rPr>
          <w:rFonts w:ascii="Arial" w:hAnsi="Arial" w:cs="Arial"/>
        </w:rPr>
        <w:t>.</w:t>
      </w:r>
      <w:r w:rsidR="00FB0C03">
        <w:rPr>
          <w:rFonts w:ascii="Arial" w:hAnsi="Arial" w:cs="Arial"/>
        </w:rPr>
        <w:t>” dedi.</w:t>
      </w:r>
    </w:p>
    <w:p w14:paraId="7C338341" w14:textId="3B5747AD" w:rsidR="00D4198C" w:rsidRPr="00744C20" w:rsidRDefault="00EC3DDD" w:rsidP="00744C20">
      <w:pPr>
        <w:spacing w:before="120" w:after="120" w:line="264" w:lineRule="auto"/>
        <w:jc w:val="both"/>
        <w:rPr>
          <w:rFonts w:ascii="Arial" w:hAnsi="Arial" w:cs="Arial"/>
        </w:rPr>
      </w:pPr>
      <w:r w:rsidRPr="00EC3DDD">
        <w:rPr>
          <w:rFonts w:ascii="Arial" w:hAnsi="Arial" w:cs="Arial"/>
        </w:rPr>
        <w:t xml:space="preserve">İnşaat sektörüyle </w:t>
      </w:r>
      <w:r w:rsidR="000E71DB" w:rsidRPr="000E71DB">
        <w:rPr>
          <w:rFonts w:ascii="Arial" w:hAnsi="Arial" w:cs="Arial"/>
        </w:rPr>
        <w:t>ilgili değerlendirmelerde bulunan</w:t>
      </w:r>
      <w:r w:rsidR="000E71DB">
        <w:rPr>
          <w:rFonts w:ascii="Arial" w:hAnsi="Arial" w:cs="Arial"/>
        </w:rPr>
        <w:t xml:space="preserve"> </w:t>
      </w:r>
      <w:r w:rsidR="00821637">
        <w:rPr>
          <w:rFonts w:ascii="Arial" w:hAnsi="Arial" w:cs="Arial"/>
        </w:rPr>
        <w:t>THBB Başkanı Yavuz Işık, “</w:t>
      </w:r>
      <w:r w:rsidR="00DC7111" w:rsidRPr="00DC7111">
        <w:rPr>
          <w:rFonts w:ascii="Arial" w:hAnsi="Arial" w:cs="Arial"/>
        </w:rPr>
        <w:t xml:space="preserve">2026 yılının </w:t>
      </w:r>
      <w:r w:rsidR="00DC7111">
        <w:rPr>
          <w:rFonts w:ascii="Arial" w:hAnsi="Arial" w:cs="Arial"/>
        </w:rPr>
        <w:t>n</w:t>
      </w:r>
      <w:r w:rsidR="00DC7111" w:rsidRPr="00DC7111">
        <w:rPr>
          <w:rFonts w:ascii="Arial" w:hAnsi="Arial" w:cs="Arial"/>
        </w:rPr>
        <w:t>isan ayı itibarıyla Türkiye’de inşaat sektörü, içerideki makroekonomik dengelenme sürecine ek olarak küresel jeopolitik hatların kırılmasıyla çok daha karmaşık bir sınamadan geçmektedir. Enflasyonla mücadele kapsamında uygulanan sıkı para politikasının yarattığı yüksek finansman maliyetleri konut talebini ve proje fonlamalarını h</w:t>
      </w:r>
      <w:r w:rsidR="00B659BC">
        <w:rPr>
          <w:rFonts w:ascii="Arial" w:hAnsi="Arial" w:cs="Arial"/>
        </w:rPr>
        <w:t>â</w:t>
      </w:r>
      <w:r w:rsidR="00DC7111" w:rsidRPr="00DC7111">
        <w:rPr>
          <w:rFonts w:ascii="Arial" w:hAnsi="Arial" w:cs="Arial"/>
        </w:rPr>
        <w:t xml:space="preserve">lihazırda baskılarken, nisan ayında tırmanan İran-ABD gerilimi ve sıcak çatışma ortamı </w:t>
      </w:r>
      <w:proofErr w:type="spellStart"/>
      <w:r w:rsidR="00DC7111" w:rsidRPr="00DC7111">
        <w:rPr>
          <w:rFonts w:ascii="Arial" w:hAnsi="Arial" w:cs="Arial"/>
        </w:rPr>
        <w:t>sektörel</w:t>
      </w:r>
      <w:proofErr w:type="spellEnd"/>
      <w:r w:rsidR="00DC7111" w:rsidRPr="00DC7111">
        <w:rPr>
          <w:rFonts w:ascii="Arial" w:hAnsi="Arial" w:cs="Arial"/>
        </w:rPr>
        <w:t xml:space="preserve"> kırılganlığı derinleştirmektedir. Bölgesel savaşın tetiklediği küresel enerji krizi ve petrol fiyatlarındaki sıçrama, inşaat sektörünün en büyük yapısal sorunu olan girdi maliyetlerini doğrudan yukarı çekmektedir. Nisan ayı verileri her ne kadar endekslerin pozitif tarafta tutunma çabasını gösterse de artan bu jeopolitik riskler güven algısının "temkinli" sınırdan çok daha kırılganlaşmasına</w:t>
      </w:r>
      <w:r w:rsidR="00DC7111">
        <w:rPr>
          <w:rFonts w:ascii="Arial" w:hAnsi="Arial" w:cs="Arial"/>
        </w:rPr>
        <w:t xml:space="preserve"> </w:t>
      </w:r>
      <w:r w:rsidR="00DC7111" w:rsidRPr="00DC7111">
        <w:rPr>
          <w:rFonts w:ascii="Arial" w:hAnsi="Arial" w:cs="Arial"/>
        </w:rPr>
        <w:t xml:space="preserve">neden olmaktadır. Sektör, bir yandan sıkı likidite koşulları ve kredi hacmindeki daralmayla boğuşurken, diğer yandan bölgesel savaş senaryolarının gölgesinde öngörülebilirliği azalan bir maliyet sarmalıyla karşı karşıya kalmaktadır. Bu küresel </w:t>
      </w:r>
      <w:proofErr w:type="gramStart"/>
      <w:r w:rsidR="00DC7111" w:rsidRPr="00DC7111">
        <w:rPr>
          <w:rFonts w:ascii="Arial" w:hAnsi="Arial" w:cs="Arial"/>
        </w:rPr>
        <w:t>konjonktür</w:t>
      </w:r>
      <w:proofErr w:type="gramEnd"/>
      <w:r w:rsidR="00DC7111" w:rsidRPr="00DC7111">
        <w:rPr>
          <w:rFonts w:ascii="Arial" w:hAnsi="Arial" w:cs="Arial"/>
        </w:rPr>
        <w:t xml:space="preserve">, genel bir </w:t>
      </w:r>
      <w:proofErr w:type="spellStart"/>
      <w:r w:rsidR="00DC7111" w:rsidRPr="00DC7111">
        <w:rPr>
          <w:rFonts w:ascii="Arial" w:hAnsi="Arial" w:cs="Arial"/>
        </w:rPr>
        <w:t>sektörel</w:t>
      </w:r>
      <w:proofErr w:type="spellEnd"/>
      <w:r w:rsidR="00DC7111" w:rsidRPr="00DC7111">
        <w:rPr>
          <w:rFonts w:ascii="Arial" w:hAnsi="Arial" w:cs="Arial"/>
        </w:rPr>
        <w:t xml:space="preserve"> genişlemenin yalnızca iç finansal gevşemeye değil, aynı zamanda dış dünyadaki jeopolitik tansiyonun düşmesine de </w:t>
      </w:r>
      <w:r w:rsidR="00B70670">
        <w:rPr>
          <w:rFonts w:ascii="Arial" w:hAnsi="Arial" w:cs="Arial"/>
        </w:rPr>
        <w:t>direkt</w:t>
      </w:r>
      <w:r w:rsidR="00B70670" w:rsidRPr="00DC7111">
        <w:rPr>
          <w:rFonts w:ascii="Arial" w:hAnsi="Arial" w:cs="Arial"/>
        </w:rPr>
        <w:t xml:space="preserve"> </w:t>
      </w:r>
      <w:r w:rsidR="00DC7111" w:rsidRPr="00DC7111">
        <w:rPr>
          <w:rFonts w:ascii="Arial" w:hAnsi="Arial" w:cs="Arial"/>
        </w:rPr>
        <w:t>bağlı olduğunu ortaya koymaktadır.</w:t>
      </w:r>
      <w:r w:rsidR="00D4198C" w:rsidRPr="00D4198C">
        <w:rPr>
          <w:rFonts w:ascii="Arial" w:hAnsi="Arial" w:cs="Arial"/>
        </w:rPr>
        <w:t>”</w:t>
      </w:r>
      <w:r w:rsidR="00FB0C03">
        <w:rPr>
          <w:rFonts w:ascii="Arial" w:hAnsi="Arial" w:cs="Arial"/>
        </w:rPr>
        <w:t xml:space="preserve"> dedi.</w:t>
      </w:r>
    </w:p>
    <w:p w14:paraId="448608E8" w14:textId="55F0D2A6" w:rsidR="006C6DAD" w:rsidRDefault="008E2225" w:rsidP="006C6DAD">
      <w:pPr>
        <w:spacing w:after="120"/>
        <w:jc w:val="center"/>
        <w:outlineLvl w:val="1"/>
        <w:rPr>
          <w:noProof/>
        </w:rPr>
      </w:pPr>
      <w:r w:rsidRPr="0022066D">
        <w:rPr>
          <w:rFonts w:ascii="Arial" w:hAnsi="Arial" w:cs="Arial"/>
          <w:b/>
        </w:rPr>
        <w:t>Grafik</w:t>
      </w:r>
      <w:r w:rsidR="00384D4B">
        <w:rPr>
          <w:rFonts w:ascii="Arial" w:hAnsi="Arial" w:cs="Arial"/>
          <w:b/>
        </w:rPr>
        <w:t xml:space="preserve"> </w:t>
      </w:r>
      <w:r w:rsidRPr="0022066D">
        <w:rPr>
          <w:rFonts w:ascii="Arial" w:hAnsi="Arial" w:cs="Arial"/>
          <w:b/>
        </w:rPr>
        <w:t xml:space="preserve">1: Endeks </w:t>
      </w:r>
      <w:r w:rsidR="00965EC8" w:rsidRPr="0022066D">
        <w:rPr>
          <w:rFonts w:ascii="Arial" w:hAnsi="Arial" w:cs="Arial"/>
          <w:b/>
        </w:rPr>
        <w:t>Değerleri</w:t>
      </w:r>
      <w:r w:rsidR="00965EC8">
        <w:rPr>
          <w:noProof/>
        </w:rPr>
        <w:t xml:space="preserve"> </w:t>
      </w:r>
    </w:p>
    <w:p w14:paraId="12CE1CA6" w14:textId="368CFD04" w:rsidR="00CB7496" w:rsidRDefault="00D827C4" w:rsidP="006C6DAD">
      <w:pPr>
        <w:spacing w:after="120"/>
        <w:jc w:val="center"/>
        <w:outlineLvl w:val="1"/>
        <w:rPr>
          <w:rFonts w:ascii="Arial" w:hAnsi="Arial" w:cs="Arial"/>
          <w:b/>
        </w:rPr>
      </w:pPr>
      <w:r>
        <w:rPr>
          <w:noProof/>
        </w:rPr>
        <w:drawing>
          <wp:inline distT="0" distB="0" distL="0" distR="0" wp14:anchorId="59D364E8" wp14:editId="09B988AF">
            <wp:extent cx="5760720" cy="3768090"/>
            <wp:effectExtent l="0" t="0" r="11430" b="22860"/>
            <wp:docPr id="1687092337" name="Grafik 1">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16="http://schemas.microsoft.com/office/drawing/2014/main" id="{00000000-0008-0000-0000-00006B1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6D00A08B" w14:textId="77777777" w:rsidR="00965EC8" w:rsidRDefault="00965EC8" w:rsidP="00671ED7">
      <w:pPr>
        <w:spacing w:before="230" w:after="115"/>
        <w:contextualSpacing/>
        <w:jc w:val="center"/>
        <w:outlineLvl w:val="1"/>
        <w:rPr>
          <w:rFonts w:ascii="Arial" w:hAnsi="Arial" w:cs="Arial"/>
          <w:b/>
        </w:rPr>
      </w:pPr>
    </w:p>
    <w:p w14:paraId="7A9D0DBD" w14:textId="77777777" w:rsidR="00F20BA4" w:rsidRDefault="00F20BA4" w:rsidP="00671ED7">
      <w:pPr>
        <w:spacing w:before="230" w:after="115"/>
        <w:contextualSpacing/>
        <w:jc w:val="center"/>
        <w:outlineLvl w:val="1"/>
        <w:rPr>
          <w:rFonts w:ascii="Arial" w:hAnsi="Arial" w:cs="Arial"/>
          <w:b/>
        </w:rPr>
      </w:pPr>
    </w:p>
    <w:p w14:paraId="35DB696B" w14:textId="77777777" w:rsidR="000170E9" w:rsidRDefault="000170E9" w:rsidP="00EB004B">
      <w:pPr>
        <w:spacing w:before="230" w:after="115"/>
        <w:contextualSpacing/>
        <w:jc w:val="center"/>
        <w:outlineLvl w:val="1"/>
        <w:rPr>
          <w:rFonts w:ascii="Arial" w:hAnsi="Arial" w:cs="Arial"/>
          <w:b/>
        </w:rPr>
      </w:pPr>
    </w:p>
    <w:p w14:paraId="3D67F641" w14:textId="77777777" w:rsidR="000170E9" w:rsidRDefault="000170E9" w:rsidP="00EB004B">
      <w:pPr>
        <w:spacing w:before="230" w:after="115"/>
        <w:contextualSpacing/>
        <w:jc w:val="center"/>
        <w:outlineLvl w:val="1"/>
        <w:rPr>
          <w:rFonts w:ascii="Arial" w:hAnsi="Arial" w:cs="Arial"/>
          <w:b/>
        </w:rPr>
      </w:pPr>
    </w:p>
    <w:p w14:paraId="585EE0EC" w14:textId="77777777" w:rsidR="000170E9" w:rsidRDefault="000170E9" w:rsidP="00EB004B">
      <w:pPr>
        <w:spacing w:before="230" w:after="115"/>
        <w:contextualSpacing/>
        <w:jc w:val="center"/>
        <w:outlineLvl w:val="1"/>
        <w:rPr>
          <w:rFonts w:ascii="Arial" w:hAnsi="Arial" w:cs="Arial"/>
          <w:b/>
        </w:rPr>
      </w:pPr>
    </w:p>
    <w:p w14:paraId="4AE7983F" w14:textId="77777777" w:rsidR="000170E9" w:rsidRDefault="000170E9" w:rsidP="00EB004B">
      <w:pPr>
        <w:spacing w:before="230" w:after="115"/>
        <w:contextualSpacing/>
        <w:jc w:val="center"/>
        <w:outlineLvl w:val="1"/>
        <w:rPr>
          <w:rFonts w:ascii="Arial" w:hAnsi="Arial" w:cs="Arial"/>
          <w:b/>
        </w:rPr>
      </w:pPr>
    </w:p>
    <w:p w14:paraId="49655C95" w14:textId="71886B11" w:rsidR="00671ED7" w:rsidRDefault="008E2225" w:rsidP="00EB004B">
      <w:pPr>
        <w:spacing w:before="230" w:after="115"/>
        <w:contextualSpacing/>
        <w:jc w:val="center"/>
        <w:outlineLvl w:val="1"/>
        <w:rPr>
          <w:rFonts w:ascii="Arial" w:hAnsi="Arial" w:cs="Arial"/>
          <w:b/>
        </w:rPr>
      </w:pPr>
      <w:r w:rsidRPr="0022066D">
        <w:rPr>
          <w:rFonts w:ascii="Arial" w:hAnsi="Arial" w:cs="Arial"/>
          <w:b/>
        </w:rPr>
        <w:t>Grafik</w:t>
      </w:r>
      <w:r w:rsidR="00384D4B">
        <w:rPr>
          <w:rFonts w:ascii="Arial" w:hAnsi="Arial" w:cs="Arial"/>
          <w:b/>
        </w:rPr>
        <w:t xml:space="preserve"> </w:t>
      </w:r>
      <w:r w:rsidRPr="0022066D">
        <w:rPr>
          <w:rFonts w:ascii="Arial" w:hAnsi="Arial" w:cs="Arial"/>
          <w:b/>
        </w:rPr>
        <w:t>2: Endeks Değerlerindeki Değişim (Önceki Yılın Aynı Ayına Göre, %)</w:t>
      </w:r>
    </w:p>
    <w:p w14:paraId="198050A2" w14:textId="77777777" w:rsidR="006025DB" w:rsidRDefault="006025DB" w:rsidP="00EB004B">
      <w:pPr>
        <w:spacing w:before="230" w:after="115"/>
        <w:contextualSpacing/>
        <w:jc w:val="center"/>
        <w:outlineLvl w:val="1"/>
        <w:rPr>
          <w:rFonts w:ascii="Arial" w:hAnsi="Arial" w:cs="Arial"/>
          <w:b/>
        </w:rPr>
      </w:pPr>
    </w:p>
    <w:p w14:paraId="7F9B9B15" w14:textId="14B69D36" w:rsidR="00D2194E" w:rsidRDefault="00D827C4" w:rsidP="00447336">
      <w:pPr>
        <w:spacing w:before="230" w:after="115"/>
        <w:contextualSpacing/>
        <w:jc w:val="center"/>
        <w:outlineLvl w:val="1"/>
        <w:rPr>
          <w:rFonts w:ascii="Arial" w:hAnsi="Arial" w:cs="Arial"/>
          <w:b/>
        </w:rPr>
      </w:pPr>
      <w:r>
        <w:rPr>
          <w:noProof/>
        </w:rPr>
        <w:drawing>
          <wp:inline distT="0" distB="0" distL="0" distR="0" wp14:anchorId="3CB9D30B" wp14:editId="6A945720">
            <wp:extent cx="5760720" cy="1661160"/>
            <wp:effectExtent l="0" t="0" r="11430" b="15240"/>
            <wp:docPr id="555154116" name="Grafik 1">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16="http://schemas.microsoft.com/office/drawing/2014/main" id="{00000000-0008-0000-0000-00006C1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56145E4F" w14:textId="77777777" w:rsidR="00965EC8" w:rsidRDefault="00965EC8" w:rsidP="007800F7">
      <w:pPr>
        <w:jc w:val="both"/>
        <w:rPr>
          <w:rFonts w:ascii="Arial" w:hAnsi="Arial" w:cs="Arial"/>
          <w:b/>
        </w:rPr>
      </w:pPr>
    </w:p>
    <w:p w14:paraId="30CFC82E" w14:textId="77777777" w:rsidR="00D51E96" w:rsidRDefault="00BC1E27" w:rsidP="007800F7">
      <w:pPr>
        <w:jc w:val="both"/>
        <w:rPr>
          <w:rFonts w:ascii="Arial" w:hAnsi="Arial" w:cs="Arial"/>
          <w:b/>
          <w:noProof/>
          <w:sz w:val="16"/>
          <w:szCs w:val="16"/>
          <w:u w:val="single"/>
        </w:rPr>
      </w:pPr>
      <w:r w:rsidRPr="0022066D">
        <w:rPr>
          <w:rFonts w:ascii="Arial" w:hAnsi="Arial" w:cs="Arial"/>
          <w:b/>
          <w:noProof/>
          <w:sz w:val="16"/>
          <w:szCs w:val="16"/>
          <w:u w:val="single"/>
        </w:rPr>
        <w:t>Hazır Beton Endeksi hakkında</w:t>
      </w:r>
    </w:p>
    <w:p w14:paraId="2E3F6A00" w14:textId="77777777" w:rsidR="00BC1E27" w:rsidRDefault="00BC1E27" w:rsidP="007800F7">
      <w:pPr>
        <w:jc w:val="both"/>
        <w:rPr>
          <w:rFonts w:ascii="Arial" w:hAnsi="Arial" w:cs="Arial"/>
          <w:sz w:val="16"/>
          <w:szCs w:val="16"/>
        </w:rPr>
      </w:pPr>
      <w:r w:rsidRPr="0022066D">
        <w:rPr>
          <w:rFonts w:ascii="Arial" w:hAnsi="Arial" w:cs="Arial"/>
          <w:sz w:val="16"/>
          <w:szCs w:val="16"/>
        </w:rPr>
        <w:t>Söz konusu endekslerin oluşturulmasına esas t</w:t>
      </w:r>
      <w:r w:rsidR="00E873D4">
        <w:rPr>
          <w:rFonts w:ascii="Arial" w:hAnsi="Arial" w:cs="Arial"/>
          <w:sz w:val="16"/>
          <w:szCs w:val="16"/>
        </w:rPr>
        <w:t>eşkil eden anket ile firmalara 8</w:t>
      </w:r>
      <w:r w:rsidRPr="0022066D">
        <w:rPr>
          <w:rFonts w:ascii="Arial" w:hAnsi="Arial" w:cs="Arial"/>
          <w:sz w:val="16"/>
          <w:szCs w:val="16"/>
        </w:rPr>
        <w:t xml:space="preserve"> soru soruluyor. Her bir endeksin değeri 100’ün altında ya da üstünde olmasına bağlı olarak yorumlanıyor. 100’ün üzerinde olması durumunda önceki aya ait faaliyetin ya da gelecek döneme ilişkin beklentinin olumlu yönde geliştiği yorumu yapılıyor. Türkiye genelinde her ay hazır beton üreticileri ile gerçekleştirilen çalışmada 3 farklı endeks </w:t>
      </w:r>
      <w:r w:rsidR="00FD0111">
        <w:rPr>
          <w:rFonts w:ascii="Arial" w:hAnsi="Arial" w:cs="Arial"/>
          <w:sz w:val="16"/>
          <w:szCs w:val="16"/>
        </w:rPr>
        <w:t>oluşturuluyor.</w:t>
      </w:r>
      <w:r w:rsidRPr="0022066D">
        <w:rPr>
          <w:rFonts w:ascii="Arial" w:hAnsi="Arial" w:cs="Arial"/>
          <w:sz w:val="16"/>
          <w:szCs w:val="16"/>
        </w:rPr>
        <w:t xml:space="preserve"> </w:t>
      </w:r>
      <w:proofErr w:type="gramStart"/>
      <w:r w:rsidRPr="0022066D">
        <w:rPr>
          <w:rFonts w:ascii="Arial" w:hAnsi="Arial" w:cs="Arial"/>
          <w:sz w:val="16"/>
          <w:szCs w:val="16"/>
        </w:rPr>
        <w:t xml:space="preserve">Hazır Beton Faaliyet Endeksi ile hazır beton firmalarının geçmiş bir aylık faaliyetlerinin sonuçları, Hazır Beton Güven Endeksi ile hazır beton sektöründe faaliyet gösteren teşebbüslerin, ekonomi ve sektöre yönelik duydukları güven seviyesi, Hazır Beton Beklenti Endeksi ile hazır beton firmalarının önümüzdeki üç aylık dönemde faaliyetlerinin hangi seviyede olacağına ilişkin beklentiler hakkında bilgi ediniliyor. </w:t>
      </w:r>
      <w:proofErr w:type="gramEnd"/>
      <w:r w:rsidRPr="0022066D">
        <w:rPr>
          <w:rFonts w:ascii="Arial" w:hAnsi="Arial" w:cs="Arial"/>
          <w:sz w:val="16"/>
          <w:szCs w:val="16"/>
        </w:rPr>
        <w:t>Hazır Beton Endeksi ile endekslerin tümünü içeren bileşik endeks elde ediliyor.</w:t>
      </w:r>
    </w:p>
    <w:p w14:paraId="51D23AF2" w14:textId="77777777" w:rsidR="00BC1E27" w:rsidRPr="0022066D" w:rsidRDefault="00BC1E27" w:rsidP="007800F7">
      <w:pPr>
        <w:jc w:val="both"/>
        <w:rPr>
          <w:rFonts w:ascii="Arial" w:hAnsi="Arial" w:cs="Arial"/>
          <w:b/>
          <w:bCs/>
          <w:sz w:val="16"/>
          <w:szCs w:val="16"/>
          <w:u w:val="single"/>
        </w:rPr>
      </w:pPr>
      <w:r w:rsidRPr="0022066D">
        <w:rPr>
          <w:rFonts w:ascii="Arial" w:hAnsi="Arial" w:cs="Arial"/>
          <w:b/>
          <w:bCs/>
          <w:sz w:val="16"/>
          <w:szCs w:val="16"/>
          <w:u w:val="single"/>
        </w:rPr>
        <w:t>Türkiye Hazır Beton Birliği hakkında</w:t>
      </w:r>
    </w:p>
    <w:p w14:paraId="092C318E" w14:textId="77777777" w:rsidR="00BC1E27" w:rsidRPr="0022066D" w:rsidRDefault="00BC1E27" w:rsidP="007800F7">
      <w:pPr>
        <w:jc w:val="both"/>
        <w:rPr>
          <w:rFonts w:ascii="Arial" w:hAnsi="Arial" w:cs="Arial"/>
          <w:b/>
          <w:bCs/>
          <w:color w:val="0070C0"/>
          <w:sz w:val="16"/>
          <w:szCs w:val="16"/>
        </w:rPr>
      </w:pPr>
      <w:r w:rsidRPr="0022066D">
        <w:rPr>
          <w:rFonts w:ascii="Arial" w:hAnsi="Arial" w:cs="Arial"/>
          <w:bCs/>
          <w:sz w:val="16"/>
          <w:szCs w:val="16"/>
        </w:rPr>
        <w:t>Türkiye Hazır Beton Birliği (THBB), 1988 yılından beri güvenli ve dayanıklı yapıların inşası amacıyla standartlara uygun beton üretilmesi, tekniğine uygun beton uygulamalarının yaygınlaşması ve ülkemizde kaliteli, dayanıklı, yüksek dayanım sınıflarında beton kullanılması için uğraş veren mesleki bir kuruluştur. THBB, Avrupa Hazır Beton Birliği (ERMCO) ve Beton Sürdürülebilirlik Konseyi (</w:t>
      </w:r>
      <w:proofErr w:type="spellStart"/>
      <w:r w:rsidR="00794514" w:rsidRPr="0022066D">
        <w:rPr>
          <w:rFonts w:ascii="Arial" w:hAnsi="Arial" w:cs="Arial"/>
          <w:bCs/>
          <w:sz w:val="16"/>
          <w:szCs w:val="16"/>
        </w:rPr>
        <w:t>The</w:t>
      </w:r>
      <w:proofErr w:type="spellEnd"/>
      <w:r w:rsidR="00794514" w:rsidRPr="0022066D">
        <w:rPr>
          <w:rFonts w:ascii="Arial" w:hAnsi="Arial" w:cs="Arial"/>
          <w:bCs/>
          <w:sz w:val="16"/>
          <w:szCs w:val="16"/>
        </w:rPr>
        <w:t xml:space="preserve"> </w:t>
      </w:r>
      <w:proofErr w:type="spellStart"/>
      <w:r w:rsidRPr="0022066D">
        <w:rPr>
          <w:rFonts w:ascii="Arial" w:hAnsi="Arial" w:cs="Arial"/>
          <w:bCs/>
          <w:sz w:val="16"/>
          <w:szCs w:val="16"/>
        </w:rPr>
        <w:t>Concrete</w:t>
      </w:r>
      <w:proofErr w:type="spellEnd"/>
      <w:r w:rsidRPr="0022066D">
        <w:rPr>
          <w:rFonts w:ascii="Arial" w:hAnsi="Arial" w:cs="Arial"/>
          <w:bCs/>
          <w:sz w:val="16"/>
          <w:szCs w:val="16"/>
        </w:rPr>
        <w:t xml:space="preserve"> </w:t>
      </w:r>
      <w:proofErr w:type="spellStart"/>
      <w:r w:rsidRPr="0022066D">
        <w:rPr>
          <w:rFonts w:ascii="Arial" w:hAnsi="Arial" w:cs="Arial"/>
          <w:bCs/>
          <w:sz w:val="16"/>
          <w:szCs w:val="16"/>
        </w:rPr>
        <w:t>Sustainability</w:t>
      </w:r>
      <w:proofErr w:type="spellEnd"/>
      <w:r w:rsidRPr="0022066D">
        <w:rPr>
          <w:rFonts w:ascii="Arial" w:hAnsi="Arial" w:cs="Arial"/>
          <w:bCs/>
          <w:sz w:val="16"/>
          <w:szCs w:val="16"/>
        </w:rPr>
        <w:t xml:space="preserve"> </w:t>
      </w:r>
      <w:proofErr w:type="spellStart"/>
      <w:r w:rsidRPr="0022066D">
        <w:rPr>
          <w:rFonts w:ascii="Arial" w:hAnsi="Arial" w:cs="Arial"/>
          <w:bCs/>
          <w:sz w:val="16"/>
          <w:szCs w:val="16"/>
        </w:rPr>
        <w:t>Council</w:t>
      </w:r>
      <w:proofErr w:type="spellEnd"/>
      <w:r w:rsidRPr="0022066D">
        <w:rPr>
          <w:rFonts w:ascii="Arial" w:hAnsi="Arial" w:cs="Arial"/>
          <w:bCs/>
          <w:sz w:val="16"/>
          <w:szCs w:val="16"/>
        </w:rPr>
        <w:t xml:space="preserve">) üyesi; Beton Sürdürülebilirlik Konseyi “Bölgesel Sistem </w:t>
      </w:r>
      <w:proofErr w:type="spellStart"/>
      <w:r w:rsidRPr="0022066D">
        <w:rPr>
          <w:rFonts w:ascii="Arial" w:hAnsi="Arial" w:cs="Arial"/>
          <w:bCs/>
          <w:sz w:val="16"/>
          <w:szCs w:val="16"/>
        </w:rPr>
        <w:t>Operatörü”dür</w:t>
      </w:r>
      <w:proofErr w:type="spellEnd"/>
      <w:r w:rsidRPr="0022066D">
        <w:rPr>
          <w:rFonts w:ascii="Arial" w:hAnsi="Arial" w:cs="Arial"/>
          <w:bCs/>
          <w:sz w:val="16"/>
          <w:szCs w:val="16"/>
        </w:rPr>
        <w:t xml:space="preserve">. </w:t>
      </w:r>
      <w:proofErr w:type="spellStart"/>
      <w:r w:rsidRPr="0022066D">
        <w:rPr>
          <w:rFonts w:ascii="Arial" w:hAnsi="Arial" w:cs="Arial"/>
          <w:bCs/>
          <w:sz w:val="16"/>
          <w:szCs w:val="16"/>
        </w:rPr>
        <w:t>THBB’ye</w:t>
      </w:r>
      <w:proofErr w:type="spellEnd"/>
      <w:r w:rsidRPr="0022066D">
        <w:rPr>
          <w:rFonts w:ascii="Arial" w:hAnsi="Arial" w:cs="Arial"/>
          <w:bCs/>
          <w:sz w:val="16"/>
          <w:szCs w:val="16"/>
        </w:rPr>
        <w:t xml:space="preserve"> üye olacak şirketlerin bütün hazır beton tesislerinde standartlara uygun üretim yapması, THBB Kalite Güvence Sisteminin (KGS) sürekli habersiz denetimlerine tabi olarak KGS Uygunluk Belgesi alması, uygun laboratuvar bulundurması, teknik, çevre, iş sağlığı ve güvenliği, yasal ve etik </w:t>
      </w:r>
      <w:proofErr w:type="gramStart"/>
      <w:r w:rsidRPr="0022066D">
        <w:rPr>
          <w:rFonts w:ascii="Arial" w:hAnsi="Arial" w:cs="Arial"/>
          <w:bCs/>
          <w:sz w:val="16"/>
          <w:szCs w:val="16"/>
        </w:rPr>
        <w:t>kriterleri</w:t>
      </w:r>
      <w:proofErr w:type="gramEnd"/>
      <w:r w:rsidRPr="0022066D">
        <w:rPr>
          <w:rFonts w:ascii="Arial" w:hAnsi="Arial" w:cs="Arial"/>
          <w:bCs/>
          <w:sz w:val="16"/>
          <w:szCs w:val="16"/>
        </w:rPr>
        <w:t xml:space="preserve"> eksiksiz yerine getirmesi zorunludur.</w:t>
      </w:r>
    </w:p>
    <w:p w14:paraId="7F75CDAE" w14:textId="77777777" w:rsidR="00BC1E27" w:rsidRDefault="00A5078B" w:rsidP="007800F7">
      <w:pPr>
        <w:pStyle w:val="AralkYok1"/>
        <w:spacing w:line="276" w:lineRule="auto"/>
        <w:contextualSpacing/>
        <w:rPr>
          <w:rStyle w:val="Kpr"/>
          <w:rFonts w:ascii="Arial" w:eastAsia="Times New Roman" w:hAnsi="Arial" w:cs="Arial"/>
          <w:b/>
          <w:bCs/>
          <w:sz w:val="16"/>
          <w:szCs w:val="16"/>
        </w:rPr>
      </w:pPr>
      <w:hyperlink r:id="rId12" w:history="1">
        <w:r w:rsidR="00BC1E27" w:rsidRPr="0022066D">
          <w:rPr>
            <w:rStyle w:val="Kpr"/>
            <w:rFonts w:ascii="Arial" w:eastAsia="Times New Roman" w:hAnsi="Arial" w:cs="Arial"/>
            <w:b/>
            <w:bCs/>
            <w:sz w:val="16"/>
            <w:szCs w:val="16"/>
          </w:rPr>
          <w:t>Basın bültenlerimizi indirmek için buray</w:t>
        </w:r>
        <w:r w:rsidR="003B533E">
          <w:rPr>
            <w:rStyle w:val="Kpr"/>
            <w:rFonts w:ascii="Arial" w:eastAsia="Times New Roman" w:hAnsi="Arial" w:cs="Arial"/>
            <w:b/>
            <w:bCs/>
            <w:sz w:val="16"/>
            <w:szCs w:val="16"/>
          </w:rPr>
          <w:t>ı</w:t>
        </w:r>
        <w:r w:rsidR="00BC1E27" w:rsidRPr="0022066D">
          <w:rPr>
            <w:rStyle w:val="Kpr"/>
            <w:rFonts w:ascii="Arial" w:eastAsia="Times New Roman" w:hAnsi="Arial" w:cs="Arial"/>
            <w:b/>
            <w:bCs/>
            <w:sz w:val="16"/>
            <w:szCs w:val="16"/>
          </w:rPr>
          <w:t xml:space="preserve"> tıklayınız…</w:t>
        </w:r>
      </w:hyperlink>
    </w:p>
    <w:p w14:paraId="656075C8" w14:textId="77777777" w:rsidR="00CF73F9" w:rsidRPr="0022066D" w:rsidRDefault="00CF73F9" w:rsidP="007800F7">
      <w:pPr>
        <w:pStyle w:val="AralkYok1"/>
        <w:spacing w:line="276" w:lineRule="auto"/>
        <w:contextualSpacing/>
        <w:rPr>
          <w:rFonts w:ascii="Arial" w:eastAsia="Times New Roman" w:hAnsi="Arial" w:cs="Arial"/>
          <w:b/>
          <w:bCs/>
          <w:sz w:val="16"/>
          <w:szCs w:val="16"/>
        </w:rPr>
      </w:pPr>
    </w:p>
    <w:p w14:paraId="40937750" w14:textId="77777777" w:rsidR="00BC1E27" w:rsidRDefault="00BC1E27" w:rsidP="007800F7">
      <w:pPr>
        <w:pStyle w:val="AralkYok1"/>
        <w:spacing w:line="276" w:lineRule="auto"/>
        <w:contextualSpacing/>
        <w:rPr>
          <w:rFonts w:ascii="Arial" w:hAnsi="Arial" w:cs="Arial"/>
          <w:sz w:val="16"/>
          <w:szCs w:val="16"/>
        </w:rPr>
      </w:pPr>
      <w:r w:rsidRPr="0022066D">
        <w:rPr>
          <w:rFonts w:ascii="Arial" w:hAnsi="Arial" w:cs="Arial"/>
          <w:b/>
          <w:sz w:val="16"/>
          <w:szCs w:val="16"/>
          <w:u w:val="single"/>
        </w:rPr>
        <w:t>Bilgi için:</w:t>
      </w:r>
      <w:r w:rsidR="00CF73F9">
        <w:rPr>
          <w:rFonts w:ascii="Arial" w:hAnsi="Arial" w:cs="Arial"/>
          <w:b/>
          <w:sz w:val="16"/>
          <w:szCs w:val="16"/>
        </w:rPr>
        <w:t xml:space="preserve"> </w:t>
      </w:r>
      <w:r w:rsidRPr="0022066D">
        <w:rPr>
          <w:rFonts w:ascii="Arial" w:hAnsi="Arial" w:cs="Arial"/>
          <w:b/>
          <w:sz w:val="16"/>
          <w:szCs w:val="16"/>
        </w:rPr>
        <w:t>Türkiye Hazır Beton Birliği Kurumsal İletişim</w:t>
      </w:r>
      <w:r w:rsidR="008A75E9">
        <w:rPr>
          <w:rFonts w:ascii="Arial" w:hAnsi="Arial" w:cs="Arial"/>
          <w:b/>
          <w:sz w:val="16"/>
          <w:szCs w:val="16"/>
        </w:rPr>
        <w:t xml:space="preserve"> </w:t>
      </w:r>
      <w:r w:rsidRPr="0022066D">
        <w:rPr>
          <w:rFonts w:ascii="Arial" w:hAnsi="Arial" w:cs="Arial"/>
          <w:b/>
          <w:sz w:val="16"/>
          <w:szCs w:val="16"/>
        </w:rPr>
        <w:br/>
      </w:r>
      <w:r w:rsidRPr="0022066D">
        <w:rPr>
          <w:rFonts w:ascii="Arial" w:hAnsi="Arial" w:cs="Arial"/>
          <w:sz w:val="16"/>
          <w:szCs w:val="16"/>
        </w:rPr>
        <w:t xml:space="preserve">Hakan Zengin / 0216 322 96 70 / </w:t>
      </w:r>
      <w:hyperlink r:id="rId13" w:history="1">
        <w:r w:rsidR="00BA5F21" w:rsidRPr="000631FD">
          <w:rPr>
            <w:rStyle w:val="Kpr"/>
            <w:rFonts w:ascii="Arial" w:hAnsi="Arial" w:cs="Arial"/>
            <w:sz w:val="16"/>
            <w:szCs w:val="16"/>
          </w:rPr>
          <w:t>hakan.zengin@thbb.org</w:t>
        </w:r>
      </w:hyperlink>
    </w:p>
    <w:p w14:paraId="745502FD" w14:textId="77777777" w:rsidR="00BA5F21" w:rsidRDefault="00BA5F21" w:rsidP="007800F7">
      <w:pPr>
        <w:pStyle w:val="AralkYok1"/>
        <w:spacing w:line="276" w:lineRule="auto"/>
        <w:contextualSpacing/>
        <w:rPr>
          <w:rFonts w:ascii="Arial" w:hAnsi="Arial" w:cs="Arial"/>
          <w:sz w:val="16"/>
          <w:szCs w:val="16"/>
        </w:rPr>
      </w:pPr>
      <w:r>
        <w:rPr>
          <w:rFonts w:ascii="Arial" w:hAnsi="Arial" w:cs="Arial"/>
          <w:sz w:val="16"/>
          <w:szCs w:val="16"/>
        </w:rPr>
        <w:t xml:space="preserve">Pınar Taşkın / 0216 322 96 70 / </w:t>
      </w:r>
      <w:hyperlink r:id="rId14" w:history="1">
        <w:r w:rsidRPr="000631FD">
          <w:rPr>
            <w:rStyle w:val="Kpr"/>
            <w:rFonts w:ascii="Arial" w:hAnsi="Arial" w:cs="Arial"/>
            <w:sz w:val="16"/>
            <w:szCs w:val="16"/>
          </w:rPr>
          <w:t>pinar.taskin@thbb.org</w:t>
        </w:r>
      </w:hyperlink>
    </w:p>
    <w:sectPr w:rsidR="00BA5F21" w:rsidSect="00681A07">
      <w:pgSz w:w="11906" w:h="16838"/>
      <w:pgMar w:top="568" w:right="1417" w:bottom="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20002A87" w:usb1="00000000" w:usb2="00000000"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20002A87" w:usb1="00000000"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1E27"/>
    <w:rsid w:val="000012CC"/>
    <w:rsid w:val="00002545"/>
    <w:rsid w:val="0000406C"/>
    <w:rsid w:val="00004DFE"/>
    <w:rsid w:val="000142B4"/>
    <w:rsid w:val="00015216"/>
    <w:rsid w:val="000170E9"/>
    <w:rsid w:val="0002338F"/>
    <w:rsid w:val="000301FD"/>
    <w:rsid w:val="0003102D"/>
    <w:rsid w:val="000312FD"/>
    <w:rsid w:val="0004234C"/>
    <w:rsid w:val="00042A9E"/>
    <w:rsid w:val="000440F9"/>
    <w:rsid w:val="00044283"/>
    <w:rsid w:val="0005122F"/>
    <w:rsid w:val="00053DCD"/>
    <w:rsid w:val="00054AC3"/>
    <w:rsid w:val="0005544A"/>
    <w:rsid w:val="00057988"/>
    <w:rsid w:val="00070BE2"/>
    <w:rsid w:val="00075452"/>
    <w:rsid w:val="00076BD8"/>
    <w:rsid w:val="000775FE"/>
    <w:rsid w:val="000801FE"/>
    <w:rsid w:val="00080876"/>
    <w:rsid w:val="00080F34"/>
    <w:rsid w:val="00082EE0"/>
    <w:rsid w:val="00083A17"/>
    <w:rsid w:val="00083CE6"/>
    <w:rsid w:val="0008589F"/>
    <w:rsid w:val="000863F8"/>
    <w:rsid w:val="00086939"/>
    <w:rsid w:val="00090437"/>
    <w:rsid w:val="0009338F"/>
    <w:rsid w:val="000963BE"/>
    <w:rsid w:val="000A0755"/>
    <w:rsid w:val="000A07B4"/>
    <w:rsid w:val="000A144B"/>
    <w:rsid w:val="000A780C"/>
    <w:rsid w:val="000B2D15"/>
    <w:rsid w:val="000B4FCF"/>
    <w:rsid w:val="000B56FA"/>
    <w:rsid w:val="000B6063"/>
    <w:rsid w:val="000C0F35"/>
    <w:rsid w:val="000C3DD0"/>
    <w:rsid w:val="000C51C7"/>
    <w:rsid w:val="000C7E3E"/>
    <w:rsid w:val="000D11ED"/>
    <w:rsid w:val="000D25BF"/>
    <w:rsid w:val="000D4E1F"/>
    <w:rsid w:val="000D5280"/>
    <w:rsid w:val="000D769D"/>
    <w:rsid w:val="000D7872"/>
    <w:rsid w:val="000E4A8C"/>
    <w:rsid w:val="000E637A"/>
    <w:rsid w:val="000E6A4A"/>
    <w:rsid w:val="000E6F4B"/>
    <w:rsid w:val="000E71DB"/>
    <w:rsid w:val="000F5905"/>
    <w:rsid w:val="000F6ACF"/>
    <w:rsid w:val="00100CBB"/>
    <w:rsid w:val="00110ADB"/>
    <w:rsid w:val="00114095"/>
    <w:rsid w:val="00114134"/>
    <w:rsid w:val="00116448"/>
    <w:rsid w:val="00117E77"/>
    <w:rsid w:val="00121729"/>
    <w:rsid w:val="001242F3"/>
    <w:rsid w:val="00131534"/>
    <w:rsid w:val="00131D7F"/>
    <w:rsid w:val="0014421E"/>
    <w:rsid w:val="0015058D"/>
    <w:rsid w:val="00153530"/>
    <w:rsid w:val="00153E04"/>
    <w:rsid w:val="001548D4"/>
    <w:rsid w:val="00162F0D"/>
    <w:rsid w:val="001638CC"/>
    <w:rsid w:val="00163FFE"/>
    <w:rsid w:val="001651BC"/>
    <w:rsid w:val="00175B49"/>
    <w:rsid w:val="00176BC6"/>
    <w:rsid w:val="00177525"/>
    <w:rsid w:val="001861D1"/>
    <w:rsid w:val="00186641"/>
    <w:rsid w:val="00190AFE"/>
    <w:rsid w:val="00190E2E"/>
    <w:rsid w:val="00191263"/>
    <w:rsid w:val="00192B83"/>
    <w:rsid w:val="001930C0"/>
    <w:rsid w:val="001A0D5E"/>
    <w:rsid w:val="001A151A"/>
    <w:rsid w:val="001A2F57"/>
    <w:rsid w:val="001A5295"/>
    <w:rsid w:val="001A56E6"/>
    <w:rsid w:val="001B0B03"/>
    <w:rsid w:val="001B5AC3"/>
    <w:rsid w:val="001C11F1"/>
    <w:rsid w:val="001C1582"/>
    <w:rsid w:val="001C5AD9"/>
    <w:rsid w:val="001D674D"/>
    <w:rsid w:val="001D7E85"/>
    <w:rsid w:val="001E2CF2"/>
    <w:rsid w:val="001E791C"/>
    <w:rsid w:val="001F4AF7"/>
    <w:rsid w:val="0020112D"/>
    <w:rsid w:val="0020408B"/>
    <w:rsid w:val="002047FA"/>
    <w:rsid w:val="00207093"/>
    <w:rsid w:val="00213CE1"/>
    <w:rsid w:val="00214A45"/>
    <w:rsid w:val="00214A4A"/>
    <w:rsid w:val="002162AB"/>
    <w:rsid w:val="0022066D"/>
    <w:rsid w:val="002310C4"/>
    <w:rsid w:val="0023254D"/>
    <w:rsid w:val="00233859"/>
    <w:rsid w:val="00235570"/>
    <w:rsid w:val="0024164C"/>
    <w:rsid w:val="00244673"/>
    <w:rsid w:val="002453D6"/>
    <w:rsid w:val="00245574"/>
    <w:rsid w:val="00245647"/>
    <w:rsid w:val="00246505"/>
    <w:rsid w:val="0025005F"/>
    <w:rsid w:val="002502EA"/>
    <w:rsid w:val="00251B51"/>
    <w:rsid w:val="00252E16"/>
    <w:rsid w:val="00253712"/>
    <w:rsid w:val="00255773"/>
    <w:rsid w:val="00261256"/>
    <w:rsid w:val="002646B6"/>
    <w:rsid w:val="00271D67"/>
    <w:rsid w:val="002736BE"/>
    <w:rsid w:val="0027466D"/>
    <w:rsid w:val="002751EF"/>
    <w:rsid w:val="00280E29"/>
    <w:rsid w:val="00281B65"/>
    <w:rsid w:val="00282596"/>
    <w:rsid w:val="002A0E28"/>
    <w:rsid w:val="002A265F"/>
    <w:rsid w:val="002B023F"/>
    <w:rsid w:val="002B240D"/>
    <w:rsid w:val="002B46E3"/>
    <w:rsid w:val="002C0439"/>
    <w:rsid w:val="002C5A3D"/>
    <w:rsid w:val="002D412A"/>
    <w:rsid w:val="002D458A"/>
    <w:rsid w:val="002D7D36"/>
    <w:rsid w:val="002D7EAE"/>
    <w:rsid w:val="002E1193"/>
    <w:rsid w:val="002E123B"/>
    <w:rsid w:val="002E3CC0"/>
    <w:rsid w:val="002E597C"/>
    <w:rsid w:val="002E7E04"/>
    <w:rsid w:val="002F1F59"/>
    <w:rsid w:val="002F2B80"/>
    <w:rsid w:val="002F2E74"/>
    <w:rsid w:val="002F307B"/>
    <w:rsid w:val="002F3C2D"/>
    <w:rsid w:val="00300D53"/>
    <w:rsid w:val="0030154E"/>
    <w:rsid w:val="00304EAD"/>
    <w:rsid w:val="00310050"/>
    <w:rsid w:val="00312624"/>
    <w:rsid w:val="00315375"/>
    <w:rsid w:val="00315515"/>
    <w:rsid w:val="00315B4C"/>
    <w:rsid w:val="00317A23"/>
    <w:rsid w:val="00317B1F"/>
    <w:rsid w:val="003268C2"/>
    <w:rsid w:val="00327BAB"/>
    <w:rsid w:val="00331697"/>
    <w:rsid w:val="0033235C"/>
    <w:rsid w:val="00333535"/>
    <w:rsid w:val="003362A3"/>
    <w:rsid w:val="003434A6"/>
    <w:rsid w:val="003450C2"/>
    <w:rsid w:val="003459BE"/>
    <w:rsid w:val="00345D09"/>
    <w:rsid w:val="00347372"/>
    <w:rsid w:val="003503B1"/>
    <w:rsid w:val="00350C45"/>
    <w:rsid w:val="0035243F"/>
    <w:rsid w:val="00355AC9"/>
    <w:rsid w:val="003600E1"/>
    <w:rsid w:val="003606EE"/>
    <w:rsid w:val="00360B3A"/>
    <w:rsid w:val="00361644"/>
    <w:rsid w:val="00362340"/>
    <w:rsid w:val="003676B2"/>
    <w:rsid w:val="00371347"/>
    <w:rsid w:val="00384D4B"/>
    <w:rsid w:val="00386898"/>
    <w:rsid w:val="00390074"/>
    <w:rsid w:val="00392ED1"/>
    <w:rsid w:val="003945DE"/>
    <w:rsid w:val="0039507D"/>
    <w:rsid w:val="0039799E"/>
    <w:rsid w:val="003A018C"/>
    <w:rsid w:val="003A0EC3"/>
    <w:rsid w:val="003A1ACC"/>
    <w:rsid w:val="003A1E54"/>
    <w:rsid w:val="003A3FFD"/>
    <w:rsid w:val="003A550F"/>
    <w:rsid w:val="003B1825"/>
    <w:rsid w:val="003B434E"/>
    <w:rsid w:val="003B533E"/>
    <w:rsid w:val="003B7340"/>
    <w:rsid w:val="003C116F"/>
    <w:rsid w:val="003C1F38"/>
    <w:rsid w:val="003C56F9"/>
    <w:rsid w:val="003C6A9A"/>
    <w:rsid w:val="003C6E21"/>
    <w:rsid w:val="003D351E"/>
    <w:rsid w:val="003D4D7D"/>
    <w:rsid w:val="003E0590"/>
    <w:rsid w:val="003E2CDC"/>
    <w:rsid w:val="003E342B"/>
    <w:rsid w:val="003E3968"/>
    <w:rsid w:val="003F3184"/>
    <w:rsid w:val="003F7653"/>
    <w:rsid w:val="003F7D9F"/>
    <w:rsid w:val="0040023A"/>
    <w:rsid w:val="00400CA4"/>
    <w:rsid w:val="004017EF"/>
    <w:rsid w:val="00402AAE"/>
    <w:rsid w:val="00403D95"/>
    <w:rsid w:val="00404152"/>
    <w:rsid w:val="004059A7"/>
    <w:rsid w:val="0040797A"/>
    <w:rsid w:val="00413A5F"/>
    <w:rsid w:val="004204EA"/>
    <w:rsid w:val="00420F15"/>
    <w:rsid w:val="00424308"/>
    <w:rsid w:val="004309A2"/>
    <w:rsid w:val="004327C0"/>
    <w:rsid w:val="00434346"/>
    <w:rsid w:val="00437303"/>
    <w:rsid w:val="00437F3A"/>
    <w:rsid w:val="00437FA9"/>
    <w:rsid w:val="00440DCF"/>
    <w:rsid w:val="004424C1"/>
    <w:rsid w:val="00442AD2"/>
    <w:rsid w:val="00444011"/>
    <w:rsid w:val="004462BC"/>
    <w:rsid w:val="00447336"/>
    <w:rsid w:val="004506B8"/>
    <w:rsid w:val="0045681E"/>
    <w:rsid w:val="004631AC"/>
    <w:rsid w:val="00464DD3"/>
    <w:rsid w:val="00470D17"/>
    <w:rsid w:val="00477307"/>
    <w:rsid w:val="0048134B"/>
    <w:rsid w:val="00483D34"/>
    <w:rsid w:val="004845AE"/>
    <w:rsid w:val="004851E7"/>
    <w:rsid w:val="00486B4A"/>
    <w:rsid w:val="004904A0"/>
    <w:rsid w:val="004930F0"/>
    <w:rsid w:val="004A212C"/>
    <w:rsid w:val="004A24DB"/>
    <w:rsid w:val="004A52C9"/>
    <w:rsid w:val="004A719C"/>
    <w:rsid w:val="004C04DA"/>
    <w:rsid w:val="004C4614"/>
    <w:rsid w:val="004C7332"/>
    <w:rsid w:val="004C7A6D"/>
    <w:rsid w:val="004D2856"/>
    <w:rsid w:val="004D399A"/>
    <w:rsid w:val="004D3B44"/>
    <w:rsid w:val="004D46A7"/>
    <w:rsid w:val="004E016C"/>
    <w:rsid w:val="004E0C19"/>
    <w:rsid w:val="004E62C3"/>
    <w:rsid w:val="004E6464"/>
    <w:rsid w:val="004F0C96"/>
    <w:rsid w:val="004F17CF"/>
    <w:rsid w:val="004F4487"/>
    <w:rsid w:val="004F725A"/>
    <w:rsid w:val="00501041"/>
    <w:rsid w:val="0050213B"/>
    <w:rsid w:val="0050530B"/>
    <w:rsid w:val="00511D0F"/>
    <w:rsid w:val="00512390"/>
    <w:rsid w:val="00513CB6"/>
    <w:rsid w:val="00513F38"/>
    <w:rsid w:val="00516DDD"/>
    <w:rsid w:val="0051739E"/>
    <w:rsid w:val="00522236"/>
    <w:rsid w:val="00523F8C"/>
    <w:rsid w:val="0052423B"/>
    <w:rsid w:val="00525278"/>
    <w:rsid w:val="00525ACF"/>
    <w:rsid w:val="0053004B"/>
    <w:rsid w:val="0053108B"/>
    <w:rsid w:val="00531B78"/>
    <w:rsid w:val="00535AFE"/>
    <w:rsid w:val="00536810"/>
    <w:rsid w:val="00536E26"/>
    <w:rsid w:val="00540DB1"/>
    <w:rsid w:val="00541D5D"/>
    <w:rsid w:val="00542F63"/>
    <w:rsid w:val="0054514E"/>
    <w:rsid w:val="00545B4C"/>
    <w:rsid w:val="00553B34"/>
    <w:rsid w:val="005606C4"/>
    <w:rsid w:val="0056118B"/>
    <w:rsid w:val="00561B83"/>
    <w:rsid w:val="0056337F"/>
    <w:rsid w:val="00565A5C"/>
    <w:rsid w:val="00566F71"/>
    <w:rsid w:val="00571A67"/>
    <w:rsid w:val="00577E26"/>
    <w:rsid w:val="005810D2"/>
    <w:rsid w:val="00584A8C"/>
    <w:rsid w:val="00584F7E"/>
    <w:rsid w:val="00585A9F"/>
    <w:rsid w:val="00585C02"/>
    <w:rsid w:val="00585E6A"/>
    <w:rsid w:val="00587C17"/>
    <w:rsid w:val="00596405"/>
    <w:rsid w:val="00596C98"/>
    <w:rsid w:val="00596EE5"/>
    <w:rsid w:val="00597510"/>
    <w:rsid w:val="005A03FE"/>
    <w:rsid w:val="005A1CFB"/>
    <w:rsid w:val="005A30F7"/>
    <w:rsid w:val="005A5609"/>
    <w:rsid w:val="005B419C"/>
    <w:rsid w:val="005B47D9"/>
    <w:rsid w:val="005B5FE7"/>
    <w:rsid w:val="005B76F4"/>
    <w:rsid w:val="005D044D"/>
    <w:rsid w:val="005D064C"/>
    <w:rsid w:val="005D44E7"/>
    <w:rsid w:val="005D51BF"/>
    <w:rsid w:val="005D5DEA"/>
    <w:rsid w:val="005E017F"/>
    <w:rsid w:val="005E2647"/>
    <w:rsid w:val="005E2953"/>
    <w:rsid w:val="005E425D"/>
    <w:rsid w:val="005F051F"/>
    <w:rsid w:val="005F12C0"/>
    <w:rsid w:val="005F1B57"/>
    <w:rsid w:val="005F41A4"/>
    <w:rsid w:val="005F6F7D"/>
    <w:rsid w:val="005F707A"/>
    <w:rsid w:val="005F7597"/>
    <w:rsid w:val="0060100B"/>
    <w:rsid w:val="006025DB"/>
    <w:rsid w:val="00602672"/>
    <w:rsid w:val="00602D35"/>
    <w:rsid w:val="006037D9"/>
    <w:rsid w:val="00610917"/>
    <w:rsid w:val="0061329F"/>
    <w:rsid w:val="0061563C"/>
    <w:rsid w:val="0061585C"/>
    <w:rsid w:val="00621552"/>
    <w:rsid w:val="00622D7F"/>
    <w:rsid w:val="00624C49"/>
    <w:rsid w:val="00624FEB"/>
    <w:rsid w:val="00632937"/>
    <w:rsid w:val="00633D02"/>
    <w:rsid w:val="00634980"/>
    <w:rsid w:val="00635442"/>
    <w:rsid w:val="0063714D"/>
    <w:rsid w:val="006378BE"/>
    <w:rsid w:val="00641EC7"/>
    <w:rsid w:val="0064468B"/>
    <w:rsid w:val="006510B5"/>
    <w:rsid w:val="0065295F"/>
    <w:rsid w:val="00654EF9"/>
    <w:rsid w:val="00656943"/>
    <w:rsid w:val="00660768"/>
    <w:rsid w:val="006621B4"/>
    <w:rsid w:val="00666859"/>
    <w:rsid w:val="006672AC"/>
    <w:rsid w:val="00671ED7"/>
    <w:rsid w:val="0067347D"/>
    <w:rsid w:val="006744B5"/>
    <w:rsid w:val="006778F2"/>
    <w:rsid w:val="00681A07"/>
    <w:rsid w:val="00682127"/>
    <w:rsid w:val="006863A7"/>
    <w:rsid w:val="00686A2E"/>
    <w:rsid w:val="0069071E"/>
    <w:rsid w:val="0069372B"/>
    <w:rsid w:val="0069421A"/>
    <w:rsid w:val="00694DFE"/>
    <w:rsid w:val="00696135"/>
    <w:rsid w:val="00697249"/>
    <w:rsid w:val="006972F1"/>
    <w:rsid w:val="00697D7E"/>
    <w:rsid w:val="006A3A77"/>
    <w:rsid w:val="006A7E7B"/>
    <w:rsid w:val="006B2EC7"/>
    <w:rsid w:val="006B39FC"/>
    <w:rsid w:val="006B3D7D"/>
    <w:rsid w:val="006B5644"/>
    <w:rsid w:val="006C08B6"/>
    <w:rsid w:val="006C5F4C"/>
    <w:rsid w:val="006C6DAD"/>
    <w:rsid w:val="006C7D47"/>
    <w:rsid w:val="006D011C"/>
    <w:rsid w:val="006D266E"/>
    <w:rsid w:val="006D3079"/>
    <w:rsid w:val="006D30F8"/>
    <w:rsid w:val="006D71C3"/>
    <w:rsid w:val="006E2349"/>
    <w:rsid w:val="006E2803"/>
    <w:rsid w:val="006E3C18"/>
    <w:rsid w:val="006E418E"/>
    <w:rsid w:val="006E5CBE"/>
    <w:rsid w:val="006F4FA5"/>
    <w:rsid w:val="006F66AC"/>
    <w:rsid w:val="0070086F"/>
    <w:rsid w:val="00701836"/>
    <w:rsid w:val="007024AD"/>
    <w:rsid w:val="00703877"/>
    <w:rsid w:val="007046A4"/>
    <w:rsid w:val="007048B6"/>
    <w:rsid w:val="00704C08"/>
    <w:rsid w:val="00711A06"/>
    <w:rsid w:val="007129C6"/>
    <w:rsid w:val="007138DD"/>
    <w:rsid w:val="007145FF"/>
    <w:rsid w:val="0071547D"/>
    <w:rsid w:val="00722049"/>
    <w:rsid w:val="0072397C"/>
    <w:rsid w:val="00724B8A"/>
    <w:rsid w:val="00727AAD"/>
    <w:rsid w:val="00730300"/>
    <w:rsid w:val="0073744F"/>
    <w:rsid w:val="00740C09"/>
    <w:rsid w:val="00741AC8"/>
    <w:rsid w:val="00743D94"/>
    <w:rsid w:val="00743DD1"/>
    <w:rsid w:val="00744C20"/>
    <w:rsid w:val="0075174E"/>
    <w:rsid w:val="00752188"/>
    <w:rsid w:val="00752A95"/>
    <w:rsid w:val="00756BB7"/>
    <w:rsid w:val="00757794"/>
    <w:rsid w:val="0076086E"/>
    <w:rsid w:val="007630DF"/>
    <w:rsid w:val="0076399E"/>
    <w:rsid w:val="0076552F"/>
    <w:rsid w:val="007715D0"/>
    <w:rsid w:val="007800F7"/>
    <w:rsid w:val="00780978"/>
    <w:rsid w:val="00780CD4"/>
    <w:rsid w:val="007822E6"/>
    <w:rsid w:val="00784F1D"/>
    <w:rsid w:val="00786FCF"/>
    <w:rsid w:val="00792125"/>
    <w:rsid w:val="00794514"/>
    <w:rsid w:val="00795AF6"/>
    <w:rsid w:val="00796EE6"/>
    <w:rsid w:val="007A5646"/>
    <w:rsid w:val="007A6B72"/>
    <w:rsid w:val="007A6B9E"/>
    <w:rsid w:val="007B4D8D"/>
    <w:rsid w:val="007B6E36"/>
    <w:rsid w:val="007C3ABB"/>
    <w:rsid w:val="007C5724"/>
    <w:rsid w:val="007C60D3"/>
    <w:rsid w:val="007C7D70"/>
    <w:rsid w:val="007D1101"/>
    <w:rsid w:val="007D14FE"/>
    <w:rsid w:val="007D3869"/>
    <w:rsid w:val="007D57FC"/>
    <w:rsid w:val="007D5C9D"/>
    <w:rsid w:val="007D6058"/>
    <w:rsid w:val="007D6AB4"/>
    <w:rsid w:val="007F0F7D"/>
    <w:rsid w:val="007F19FD"/>
    <w:rsid w:val="007F4780"/>
    <w:rsid w:val="007F64DC"/>
    <w:rsid w:val="00807204"/>
    <w:rsid w:val="00813119"/>
    <w:rsid w:val="00815FEB"/>
    <w:rsid w:val="00821637"/>
    <w:rsid w:val="00822144"/>
    <w:rsid w:val="008226CF"/>
    <w:rsid w:val="008252C9"/>
    <w:rsid w:val="008254A0"/>
    <w:rsid w:val="00830794"/>
    <w:rsid w:val="00830ED9"/>
    <w:rsid w:val="00831417"/>
    <w:rsid w:val="00832A66"/>
    <w:rsid w:val="00833125"/>
    <w:rsid w:val="00835B5D"/>
    <w:rsid w:val="00835FE6"/>
    <w:rsid w:val="0083601F"/>
    <w:rsid w:val="008419DE"/>
    <w:rsid w:val="008434C4"/>
    <w:rsid w:val="0084529D"/>
    <w:rsid w:val="0085008B"/>
    <w:rsid w:val="00850FDB"/>
    <w:rsid w:val="00854AA7"/>
    <w:rsid w:val="0085702C"/>
    <w:rsid w:val="008615FB"/>
    <w:rsid w:val="00862725"/>
    <w:rsid w:val="0086473D"/>
    <w:rsid w:val="00864BFC"/>
    <w:rsid w:val="00866067"/>
    <w:rsid w:val="0086724A"/>
    <w:rsid w:val="00867693"/>
    <w:rsid w:val="00867D73"/>
    <w:rsid w:val="008735E4"/>
    <w:rsid w:val="00874DEA"/>
    <w:rsid w:val="00875DBF"/>
    <w:rsid w:val="00882ED8"/>
    <w:rsid w:val="00885B92"/>
    <w:rsid w:val="00885C54"/>
    <w:rsid w:val="00887BC4"/>
    <w:rsid w:val="00891C83"/>
    <w:rsid w:val="008944B2"/>
    <w:rsid w:val="00894598"/>
    <w:rsid w:val="00895BB1"/>
    <w:rsid w:val="008A00FC"/>
    <w:rsid w:val="008A0DC0"/>
    <w:rsid w:val="008A151C"/>
    <w:rsid w:val="008A4176"/>
    <w:rsid w:val="008A7538"/>
    <w:rsid w:val="008A75E9"/>
    <w:rsid w:val="008B0C8B"/>
    <w:rsid w:val="008B54AB"/>
    <w:rsid w:val="008B580B"/>
    <w:rsid w:val="008B79AC"/>
    <w:rsid w:val="008C055C"/>
    <w:rsid w:val="008C1918"/>
    <w:rsid w:val="008C49C8"/>
    <w:rsid w:val="008D1E80"/>
    <w:rsid w:val="008D2534"/>
    <w:rsid w:val="008D403C"/>
    <w:rsid w:val="008D5FA9"/>
    <w:rsid w:val="008D659B"/>
    <w:rsid w:val="008E2225"/>
    <w:rsid w:val="008E36DA"/>
    <w:rsid w:val="008E4C81"/>
    <w:rsid w:val="008F0B73"/>
    <w:rsid w:val="008F19A5"/>
    <w:rsid w:val="008F7540"/>
    <w:rsid w:val="009015F5"/>
    <w:rsid w:val="00906086"/>
    <w:rsid w:val="009108C0"/>
    <w:rsid w:val="0091742F"/>
    <w:rsid w:val="00920D6A"/>
    <w:rsid w:val="009317B7"/>
    <w:rsid w:val="00934664"/>
    <w:rsid w:val="00937E6A"/>
    <w:rsid w:val="0094076D"/>
    <w:rsid w:val="009448A3"/>
    <w:rsid w:val="00951364"/>
    <w:rsid w:val="00953BD4"/>
    <w:rsid w:val="00954A28"/>
    <w:rsid w:val="00955ACB"/>
    <w:rsid w:val="00957780"/>
    <w:rsid w:val="00962A0C"/>
    <w:rsid w:val="00965EC8"/>
    <w:rsid w:val="00966992"/>
    <w:rsid w:val="00971188"/>
    <w:rsid w:val="00972EDD"/>
    <w:rsid w:val="009732BE"/>
    <w:rsid w:val="00973AA8"/>
    <w:rsid w:val="00973BF5"/>
    <w:rsid w:val="00977A48"/>
    <w:rsid w:val="00980E23"/>
    <w:rsid w:val="00984CF7"/>
    <w:rsid w:val="0098575F"/>
    <w:rsid w:val="00985950"/>
    <w:rsid w:val="00987E20"/>
    <w:rsid w:val="009917C0"/>
    <w:rsid w:val="009932AC"/>
    <w:rsid w:val="00996234"/>
    <w:rsid w:val="009A0722"/>
    <w:rsid w:val="009A3BD1"/>
    <w:rsid w:val="009A5C6C"/>
    <w:rsid w:val="009A6F73"/>
    <w:rsid w:val="009B0405"/>
    <w:rsid w:val="009B098B"/>
    <w:rsid w:val="009B2FD8"/>
    <w:rsid w:val="009B323A"/>
    <w:rsid w:val="009C0497"/>
    <w:rsid w:val="009C310E"/>
    <w:rsid w:val="009C483D"/>
    <w:rsid w:val="009C4E5A"/>
    <w:rsid w:val="009C7F13"/>
    <w:rsid w:val="009D5149"/>
    <w:rsid w:val="009D757C"/>
    <w:rsid w:val="009E282E"/>
    <w:rsid w:val="009E2B65"/>
    <w:rsid w:val="009E3DAE"/>
    <w:rsid w:val="009E716E"/>
    <w:rsid w:val="009E723D"/>
    <w:rsid w:val="009E7FEE"/>
    <w:rsid w:val="009F1215"/>
    <w:rsid w:val="009F281E"/>
    <w:rsid w:val="009F4080"/>
    <w:rsid w:val="009F6830"/>
    <w:rsid w:val="009F7D5A"/>
    <w:rsid w:val="00A004B2"/>
    <w:rsid w:val="00A00890"/>
    <w:rsid w:val="00A0398D"/>
    <w:rsid w:val="00A049FF"/>
    <w:rsid w:val="00A0567E"/>
    <w:rsid w:val="00A06EB7"/>
    <w:rsid w:val="00A108EA"/>
    <w:rsid w:val="00A10BAC"/>
    <w:rsid w:val="00A12575"/>
    <w:rsid w:val="00A22047"/>
    <w:rsid w:val="00A2535B"/>
    <w:rsid w:val="00A26014"/>
    <w:rsid w:val="00A27078"/>
    <w:rsid w:val="00A30DEF"/>
    <w:rsid w:val="00A31229"/>
    <w:rsid w:val="00A314A2"/>
    <w:rsid w:val="00A3449D"/>
    <w:rsid w:val="00A35A40"/>
    <w:rsid w:val="00A44086"/>
    <w:rsid w:val="00A443AC"/>
    <w:rsid w:val="00A448FA"/>
    <w:rsid w:val="00A4709D"/>
    <w:rsid w:val="00A5078B"/>
    <w:rsid w:val="00A554AB"/>
    <w:rsid w:val="00A55D10"/>
    <w:rsid w:val="00A563AF"/>
    <w:rsid w:val="00A5787D"/>
    <w:rsid w:val="00A73F23"/>
    <w:rsid w:val="00A74BFA"/>
    <w:rsid w:val="00A753AB"/>
    <w:rsid w:val="00A763F7"/>
    <w:rsid w:val="00A77FC1"/>
    <w:rsid w:val="00A822DA"/>
    <w:rsid w:val="00A827A0"/>
    <w:rsid w:val="00A8591D"/>
    <w:rsid w:val="00A95C9D"/>
    <w:rsid w:val="00AB352F"/>
    <w:rsid w:val="00AB3D6E"/>
    <w:rsid w:val="00AB4AAC"/>
    <w:rsid w:val="00AB7B7E"/>
    <w:rsid w:val="00AC0AE3"/>
    <w:rsid w:val="00AC4C07"/>
    <w:rsid w:val="00AC6BEA"/>
    <w:rsid w:val="00AC785B"/>
    <w:rsid w:val="00AC7DE8"/>
    <w:rsid w:val="00AD05D0"/>
    <w:rsid w:val="00AD1601"/>
    <w:rsid w:val="00AE208B"/>
    <w:rsid w:val="00AF1916"/>
    <w:rsid w:val="00AF370C"/>
    <w:rsid w:val="00AF6056"/>
    <w:rsid w:val="00AF729A"/>
    <w:rsid w:val="00AF7DCA"/>
    <w:rsid w:val="00B00DF6"/>
    <w:rsid w:val="00B0136C"/>
    <w:rsid w:val="00B038EF"/>
    <w:rsid w:val="00B0446E"/>
    <w:rsid w:val="00B10BA4"/>
    <w:rsid w:val="00B1218B"/>
    <w:rsid w:val="00B13D0E"/>
    <w:rsid w:val="00B23334"/>
    <w:rsid w:val="00B23BEA"/>
    <w:rsid w:val="00B3512D"/>
    <w:rsid w:val="00B409E3"/>
    <w:rsid w:val="00B4150E"/>
    <w:rsid w:val="00B43A6F"/>
    <w:rsid w:val="00B4684F"/>
    <w:rsid w:val="00B47C1A"/>
    <w:rsid w:val="00B5416E"/>
    <w:rsid w:val="00B57758"/>
    <w:rsid w:val="00B577B4"/>
    <w:rsid w:val="00B6433A"/>
    <w:rsid w:val="00B64AD9"/>
    <w:rsid w:val="00B659BC"/>
    <w:rsid w:val="00B66ED1"/>
    <w:rsid w:val="00B70670"/>
    <w:rsid w:val="00B7341F"/>
    <w:rsid w:val="00B816B2"/>
    <w:rsid w:val="00B87784"/>
    <w:rsid w:val="00B9372F"/>
    <w:rsid w:val="00B93A1C"/>
    <w:rsid w:val="00B967B8"/>
    <w:rsid w:val="00B96BC0"/>
    <w:rsid w:val="00B978DE"/>
    <w:rsid w:val="00BA14F0"/>
    <w:rsid w:val="00BA155E"/>
    <w:rsid w:val="00BA15E3"/>
    <w:rsid w:val="00BA1ACC"/>
    <w:rsid w:val="00BA2550"/>
    <w:rsid w:val="00BA5F21"/>
    <w:rsid w:val="00BA7967"/>
    <w:rsid w:val="00BB1183"/>
    <w:rsid w:val="00BB36CF"/>
    <w:rsid w:val="00BB42F8"/>
    <w:rsid w:val="00BB7D02"/>
    <w:rsid w:val="00BC1E27"/>
    <w:rsid w:val="00BC301A"/>
    <w:rsid w:val="00BC3ECE"/>
    <w:rsid w:val="00BC5C9D"/>
    <w:rsid w:val="00BC773B"/>
    <w:rsid w:val="00BC7B3A"/>
    <w:rsid w:val="00BC7DA0"/>
    <w:rsid w:val="00BD01CF"/>
    <w:rsid w:val="00BD0205"/>
    <w:rsid w:val="00BD2AF6"/>
    <w:rsid w:val="00BD6436"/>
    <w:rsid w:val="00BD6870"/>
    <w:rsid w:val="00BD7405"/>
    <w:rsid w:val="00BE058B"/>
    <w:rsid w:val="00BE0EFA"/>
    <w:rsid w:val="00BE174F"/>
    <w:rsid w:val="00BE5D67"/>
    <w:rsid w:val="00BF2BDC"/>
    <w:rsid w:val="00BF4047"/>
    <w:rsid w:val="00BF5091"/>
    <w:rsid w:val="00BF6CE6"/>
    <w:rsid w:val="00C0241F"/>
    <w:rsid w:val="00C06C31"/>
    <w:rsid w:val="00C10367"/>
    <w:rsid w:val="00C10BB4"/>
    <w:rsid w:val="00C11B7F"/>
    <w:rsid w:val="00C124DB"/>
    <w:rsid w:val="00C13EA4"/>
    <w:rsid w:val="00C17496"/>
    <w:rsid w:val="00C238CA"/>
    <w:rsid w:val="00C274B4"/>
    <w:rsid w:val="00C3071A"/>
    <w:rsid w:val="00C36ED1"/>
    <w:rsid w:val="00C409D7"/>
    <w:rsid w:val="00C417B3"/>
    <w:rsid w:val="00C50BFB"/>
    <w:rsid w:val="00C516A8"/>
    <w:rsid w:val="00C51EA7"/>
    <w:rsid w:val="00C55A04"/>
    <w:rsid w:val="00C565BC"/>
    <w:rsid w:val="00C61482"/>
    <w:rsid w:val="00C6188A"/>
    <w:rsid w:val="00C63576"/>
    <w:rsid w:val="00C64628"/>
    <w:rsid w:val="00C66A32"/>
    <w:rsid w:val="00C75BD0"/>
    <w:rsid w:val="00C75F6B"/>
    <w:rsid w:val="00C8262C"/>
    <w:rsid w:val="00C833CD"/>
    <w:rsid w:val="00C92556"/>
    <w:rsid w:val="00C96AD4"/>
    <w:rsid w:val="00CA2199"/>
    <w:rsid w:val="00CA3B36"/>
    <w:rsid w:val="00CA5AFF"/>
    <w:rsid w:val="00CA679E"/>
    <w:rsid w:val="00CB28BE"/>
    <w:rsid w:val="00CB3550"/>
    <w:rsid w:val="00CB408B"/>
    <w:rsid w:val="00CB480C"/>
    <w:rsid w:val="00CB4A1E"/>
    <w:rsid w:val="00CB7496"/>
    <w:rsid w:val="00CC180D"/>
    <w:rsid w:val="00CC1B13"/>
    <w:rsid w:val="00CC2E2D"/>
    <w:rsid w:val="00CC5A59"/>
    <w:rsid w:val="00CD10D7"/>
    <w:rsid w:val="00CD2ACE"/>
    <w:rsid w:val="00CD524A"/>
    <w:rsid w:val="00CE5093"/>
    <w:rsid w:val="00CE68F8"/>
    <w:rsid w:val="00CE72AF"/>
    <w:rsid w:val="00CE7986"/>
    <w:rsid w:val="00CF4712"/>
    <w:rsid w:val="00CF4925"/>
    <w:rsid w:val="00CF6903"/>
    <w:rsid w:val="00CF73F9"/>
    <w:rsid w:val="00D00141"/>
    <w:rsid w:val="00D0124D"/>
    <w:rsid w:val="00D0274B"/>
    <w:rsid w:val="00D03B25"/>
    <w:rsid w:val="00D101EE"/>
    <w:rsid w:val="00D12BFA"/>
    <w:rsid w:val="00D12CDE"/>
    <w:rsid w:val="00D16A43"/>
    <w:rsid w:val="00D1721B"/>
    <w:rsid w:val="00D176CF"/>
    <w:rsid w:val="00D20F22"/>
    <w:rsid w:val="00D215B9"/>
    <w:rsid w:val="00D2194E"/>
    <w:rsid w:val="00D22C06"/>
    <w:rsid w:val="00D23461"/>
    <w:rsid w:val="00D23A1A"/>
    <w:rsid w:val="00D23BBB"/>
    <w:rsid w:val="00D2400E"/>
    <w:rsid w:val="00D245A8"/>
    <w:rsid w:val="00D27F79"/>
    <w:rsid w:val="00D300C7"/>
    <w:rsid w:val="00D30CEC"/>
    <w:rsid w:val="00D30D13"/>
    <w:rsid w:val="00D31E16"/>
    <w:rsid w:val="00D33571"/>
    <w:rsid w:val="00D356E3"/>
    <w:rsid w:val="00D37093"/>
    <w:rsid w:val="00D37FC3"/>
    <w:rsid w:val="00D40CFF"/>
    <w:rsid w:val="00D4198C"/>
    <w:rsid w:val="00D465ED"/>
    <w:rsid w:val="00D51E96"/>
    <w:rsid w:val="00D52672"/>
    <w:rsid w:val="00D53859"/>
    <w:rsid w:val="00D54591"/>
    <w:rsid w:val="00D54C35"/>
    <w:rsid w:val="00D60FDC"/>
    <w:rsid w:val="00D61097"/>
    <w:rsid w:val="00D630F9"/>
    <w:rsid w:val="00D64E76"/>
    <w:rsid w:val="00D7006D"/>
    <w:rsid w:val="00D81E74"/>
    <w:rsid w:val="00D827C4"/>
    <w:rsid w:val="00D82D45"/>
    <w:rsid w:val="00D82E93"/>
    <w:rsid w:val="00D83A5A"/>
    <w:rsid w:val="00D853B6"/>
    <w:rsid w:val="00D90C8C"/>
    <w:rsid w:val="00D91673"/>
    <w:rsid w:val="00D9259A"/>
    <w:rsid w:val="00D97C8E"/>
    <w:rsid w:val="00DA5A03"/>
    <w:rsid w:val="00DA6FE6"/>
    <w:rsid w:val="00DA707B"/>
    <w:rsid w:val="00DB00EB"/>
    <w:rsid w:val="00DC04B9"/>
    <w:rsid w:val="00DC2128"/>
    <w:rsid w:val="00DC3208"/>
    <w:rsid w:val="00DC4072"/>
    <w:rsid w:val="00DC7111"/>
    <w:rsid w:val="00DD2139"/>
    <w:rsid w:val="00DE029D"/>
    <w:rsid w:val="00DE212A"/>
    <w:rsid w:val="00DE23A6"/>
    <w:rsid w:val="00DE55DF"/>
    <w:rsid w:val="00DF6FDA"/>
    <w:rsid w:val="00E00B13"/>
    <w:rsid w:val="00E01427"/>
    <w:rsid w:val="00E045CE"/>
    <w:rsid w:val="00E138BA"/>
    <w:rsid w:val="00E170C9"/>
    <w:rsid w:val="00E17704"/>
    <w:rsid w:val="00E17AC0"/>
    <w:rsid w:val="00E20947"/>
    <w:rsid w:val="00E218FD"/>
    <w:rsid w:val="00E259AB"/>
    <w:rsid w:val="00E26B64"/>
    <w:rsid w:val="00E30EA2"/>
    <w:rsid w:val="00E34294"/>
    <w:rsid w:val="00E34755"/>
    <w:rsid w:val="00E35459"/>
    <w:rsid w:val="00E37424"/>
    <w:rsid w:val="00E37EC8"/>
    <w:rsid w:val="00E40EC8"/>
    <w:rsid w:val="00E4581E"/>
    <w:rsid w:val="00E46346"/>
    <w:rsid w:val="00E46816"/>
    <w:rsid w:val="00E471B1"/>
    <w:rsid w:val="00E52E42"/>
    <w:rsid w:val="00E57C0C"/>
    <w:rsid w:val="00E60FF7"/>
    <w:rsid w:val="00E66DAA"/>
    <w:rsid w:val="00E75CB4"/>
    <w:rsid w:val="00E77B78"/>
    <w:rsid w:val="00E80D9C"/>
    <w:rsid w:val="00E81793"/>
    <w:rsid w:val="00E82D68"/>
    <w:rsid w:val="00E844E3"/>
    <w:rsid w:val="00E86151"/>
    <w:rsid w:val="00E873D4"/>
    <w:rsid w:val="00E876E1"/>
    <w:rsid w:val="00E9022B"/>
    <w:rsid w:val="00E928A0"/>
    <w:rsid w:val="00E93217"/>
    <w:rsid w:val="00E95B89"/>
    <w:rsid w:val="00E9798D"/>
    <w:rsid w:val="00EA1DAC"/>
    <w:rsid w:val="00EA22F2"/>
    <w:rsid w:val="00EA6C6A"/>
    <w:rsid w:val="00EB004B"/>
    <w:rsid w:val="00EB01A9"/>
    <w:rsid w:val="00EB2622"/>
    <w:rsid w:val="00EB4085"/>
    <w:rsid w:val="00EB6C02"/>
    <w:rsid w:val="00EC2EF1"/>
    <w:rsid w:val="00EC3DDD"/>
    <w:rsid w:val="00EC45F0"/>
    <w:rsid w:val="00EC4B55"/>
    <w:rsid w:val="00EC598F"/>
    <w:rsid w:val="00ED0A74"/>
    <w:rsid w:val="00ED100C"/>
    <w:rsid w:val="00ED38ED"/>
    <w:rsid w:val="00ED622F"/>
    <w:rsid w:val="00ED7EA8"/>
    <w:rsid w:val="00EE1D26"/>
    <w:rsid w:val="00EF0963"/>
    <w:rsid w:val="00EF2340"/>
    <w:rsid w:val="00EF29C2"/>
    <w:rsid w:val="00EF585A"/>
    <w:rsid w:val="00F011EE"/>
    <w:rsid w:val="00F02E2A"/>
    <w:rsid w:val="00F10C33"/>
    <w:rsid w:val="00F10E65"/>
    <w:rsid w:val="00F1456F"/>
    <w:rsid w:val="00F20BA4"/>
    <w:rsid w:val="00F22BB6"/>
    <w:rsid w:val="00F33027"/>
    <w:rsid w:val="00F3413C"/>
    <w:rsid w:val="00F401AC"/>
    <w:rsid w:val="00F4177A"/>
    <w:rsid w:val="00F42FB6"/>
    <w:rsid w:val="00F44973"/>
    <w:rsid w:val="00F45C38"/>
    <w:rsid w:val="00F52A03"/>
    <w:rsid w:val="00F52CD6"/>
    <w:rsid w:val="00F57788"/>
    <w:rsid w:val="00F63713"/>
    <w:rsid w:val="00F6468F"/>
    <w:rsid w:val="00F65D44"/>
    <w:rsid w:val="00F672D4"/>
    <w:rsid w:val="00F7359A"/>
    <w:rsid w:val="00F76564"/>
    <w:rsid w:val="00F778CE"/>
    <w:rsid w:val="00F82EC3"/>
    <w:rsid w:val="00F90C4A"/>
    <w:rsid w:val="00F94AD1"/>
    <w:rsid w:val="00F97BAE"/>
    <w:rsid w:val="00FA0572"/>
    <w:rsid w:val="00FA67B6"/>
    <w:rsid w:val="00FA6C7A"/>
    <w:rsid w:val="00FB0C03"/>
    <w:rsid w:val="00FB3127"/>
    <w:rsid w:val="00FB4C82"/>
    <w:rsid w:val="00FB638F"/>
    <w:rsid w:val="00FB7FAE"/>
    <w:rsid w:val="00FC066D"/>
    <w:rsid w:val="00FC0E5B"/>
    <w:rsid w:val="00FC3C7A"/>
    <w:rsid w:val="00FD0111"/>
    <w:rsid w:val="00FD0923"/>
    <w:rsid w:val="00FD470A"/>
    <w:rsid w:val="00FE0BE9"/>
    <w:rsid w:val="00FE3A9E"/>
    <w:rsid w:val="00FE6DCF"/>
    <w:rsid w:val="00FF22A2"/>
    <w:rsid w:val="00FF361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1A7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6DCF"/>
    <w:rPr>
      <w:rFonts w:ascii="Calibri" w:eastAsia="Times New Roman" w:hAnsi="Calibri" w:cs="Times New Roman"/>
      <w:lang w:eastAsia="tr-TR"/>
    </w:rPr>
  </w:style>
  <w:style w:type="paragraph" w:styleId="Balk1">
    <w:name w:val="heading 1"/>
    <w:basedOn w:val="Normal"/>
    <w:next w:val="Normal"/>
    <w:link w:val="Balk1Char"/>
    <w:uiPriority w:val="9"/>
    <w:qFormat/>
    <w:rsid w:val="00BC1E2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BC1E27"/>
    <w:rPr>
      <w:color w:val="0000FF"/>
      <w:u w:val="single"/>
    </w:rPr>
  </w:style>
  <w:style w:type="paragraph" w:customStyle="1" w:styleId="AralkYok1">
    <w:name w:val="Aralık Yok1"/>
    <w:uiPriority w:val="1"/>
    <w:qFormat/>
    <w:rsid w:val="00BC1E27"/>
    <w:pPr>
      <w:spacing w:line="240" w:lineRule="auto"/>
    </w:pPr>
    <w:rPr>
      <w:rFonts w:ascii="Calibri" w:eastAsia="Calibri" w:hAnsi="Calibri" w:cs="Times New Roman"/>
      <w:lang w:eastAsia="tr-TR"/>
    </w:rPr>
  </w:style>
  <w:style w:type="paragraph" w:styleId="BalonMetni">
    <w:name w:val="Balloon Text"/>
    <w:basedOn w:val="Normal"/>
    <w:link w:val="BalonMetniChar"/>
    <w:uiPriority w:val="99"/>
    <w:semiHidden/>
    <w:unhideWhenUsed/>
    <w:rsid w:val="00BC1E2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C1E27"/>
    <w:rPr>
      <w:rFonts w:ascii="Tahoma" w:eastAsia="Times New Roman" w:hAnsi="Tahoma" w:cs="Tahoma"/>
      <w:sz w:val="16"/>
      <w:szCs w:val="16"/>
      <w:lang w:eastAsia="tr-TR"/>
    </w:rPr>
  </w:style>
  <w:style w:type="character" w:customStyle="1" w:styleId="Balk1Char">
    <w:name w:val="Başlık 1 Char"/>
    <w:basedOn w:val="VarsaylanParagrafYazTipi"/>
    <w:link w:val="Balk1"/>
    <w:uiPriority w:val="9"/>
    <w:rsid w:val="00BC1E27"/>
    <w:rPr>
      <w:rFonts w:asciiTheme="majorHAnsi" w:eastAsiaTheme="majorEastAsia" w:hAnsiTheme="majorHAnsi" w:cstheme="majorBidi"/>
      <w:b/>
      <w:bCs/>
      <w:color w:val="365F91" w:themeColor="accent1" w:themeShade="BF"/>
      <w:sz w:val="28"/>
      <w:szCs w:val="28"/>
      <w:lang w:eastAsia="tr-TR"/>
    </w:rPr>
  </w:style>
  <w:style w:type="paragraph" w:styleId="AralkYok">
    <w:name w:val="No Spacing"/>
    <w:uiPriority w:val="1"/>
    <w:qFormat/>
    <w:rsid w:val="00AB352F"/>
    <w:pPr>
      <w:spacing w:after="0" w:line="240" w:lineRule="auto"/>
    </w:pPr>
    <w:rPr>
      <w:rFonts w:ascii="Calibri" w:eastAsia="Times New Roman" w:hAnsi="Calibri" w:cs="Times New Roman"/>
      <w:lang w:eastAsia="tr-TR"/>
    </w:rPr>
  </w:style>
  <w:style w:type="paragraph" w:styleId="Dzeltme">
    <w:name w:val="Revision"/>
    <w:hidden/>
    <w:uiPriority w:val="99"/>
    <w:semiHidden/>
    <w:rsid w:val="00D7006D"/>
    <w:pPr>
      <w:spacing w:after="0" w:line="240" w:lineRule="auto"/>
    </w:pPr>
    <w:rPr>
      <w:rFonts w:ascii="Calibri" w:eastAsia="Times New Roman" w:hAnsi="Calibri" w:cs="Times New Roman"/>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6DCF"/>
    <w:rPr>
      <w:rFonts w:ascii="Calibri" w:eastAsia="Times New Roman" w:hAnsi="Calibri" w:cs="Times New Roman"/>
      <w:lang w:eastAsia="tr-TR"/>
    </w:rPr>
  </w:style>
  <w:style w:type="paragraph" w:styleId="Balk1">
    <w:name w:val="heading 1"/>
    <w:basedOn w:val="Normal"/>
    <w:next w:val="Normal"/>
    <w:link w:val="Balk1Char"/>
    <w:uiPriority w:val="9"/>
    <w:qFormat/>
    <w:rsid w:val="00BC1E2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BC1E27"/>
    <w:rPr>
      <w:color w:val="0000FF"/>
      <w:u w:val="single"/>
    </w:rPr>
  </w:style>
  <w:style w:type="paragraph" w:customStyle="1" w:styleId="AralkYok1">
    <w:name w:val="Aralık Yok1"/>
    <w:uiPriority w:val="1"/>
    <w:qFormat/>
    <w:rsid w:val="00BC1E27"/>
    <w:pPr>
      <w:spacing w:line="240" w:lineRule="auto"/>
    </w:pPr>
    <w:rPr>
      <w:rFonts w:ascii="Calibri" w:eastAsia="Calibri" w:hAnsi="Calibri" w:cs="Times New Roman"/>
      <w:lang w:eastAsia="tr-TR"/>
    </w:rPr>
  </w:style>
  <w:style w:type="paragraph" w:styleId="BalonMetni">
    <w:name w:val="Balloon Text"/>
    <w:basedOn w:val="Normal"/>
    <w:link w:val="BalonMetniChar"/>
    <w:uiPriority w:val="99"/>
    <w:semiHidden/>
    <w:unhideWhenUsed/>
    <w:rsid w:val="00BC1E2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C1E27"/>
    <w:rPr>
      <w:rFonts w:ascii="Tahoma" w:eastAsia="Times New Roman" w:hAnsi="Tahoma" w:cs="Tahoma"/>
      <w:sz w:val="16"/>
      <w:szCs w:val="16"/>
      <w:lang w:eastAsia="tr-TR"/>
    </w:rPr>
  </w:style>
  <w:style w:type="character" w:customStyle="1" w:styleId="Balk1Char">
    <w:name w:val="Başlık 1 Char"/>
    <w:basedOn w:val="VarsaylanParagrafYazTipi"/>
    <w:link w:val="Balk1"/>
    <w:uiPriority w:val="9"/>
    <w:rsid w:val="00BC1E27"/>
    <w:rPr>
      <w:rFonts w:asciiTheme="majorHAnsi" w:eastAsiaTheme="majorEastAsia" w:hAnsiTheme="majorHAnsi" w:cstheme="majorBidi"/>
      <w:b/>
      <w:bCs/>
      <w:color w:val="365F91" w:themeColor="accent1" w:themeShade="BF"/>
      <w:sz w:val="28"/>
      <w:szCs w:val="28"/>
      <w:lang w:eastAsia="tr-TR"/>
    </w:rPr>
  </w:style>
  <w:style w:type="paragraph" w:styleId="AralkYok">
    <w:name w:val="No Spacing"/>
    <w:uiPriority w:val="1"/>
    <w:qFormat/>
    <w:rsid w:val="00AB352F"/>
    <w:pPr>
      <w:spacing w:after="0" w:line="240" w:lineRule="auto"/>
    </w:pPr>
    <w:rPr>
      <w:rFonts w:ascii="Calibri" w:eastAsia="Times New Roman" w:hAnsi="Calibri" w:cs="Times New Roman"/>
      <w:lang w:eastAsia="tr-TR"/>
    </w:rPr>
  </w:style>
  <w:style w:type="paragraph" w:styleId="Dzeltme">
    <w:name w:val="Revision"/>
    <w:hidden/>
    <w:uiPriority w:val="99"/>
    <w:semiHidden/>
    <w:rsid w:val="00D7006D"/>
    <w:pPr>
      <w:spacing w:after="0" w:line="240" w:lineRule="auto"/>
    </w:pPr>
    <w:rPr>
      <w:rFonts w:ascii="Calibri" w:eastAsia="Times New Roman" w:hAnsi="Calibri" w:cs="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6917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hakan.zengin@thbb.org"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thbb.org/basin-odas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chart" Target="charts/chart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chart" Target="charts/chart1.xm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mailto:pinar.taskin@thbb.org"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D:\belgeler\2026%20nisan.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belgeler\2026%20nisan.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tr-T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3324949165227101"/>
          <c:y val="9.0594347777068499E-2"/>
          <c:w val="0.85787234156959302"/>
          <c:h val="0.71898240361448496"/>
        </c:manualLayout>
      </c:layout>
      <c:lineChart>
        <c:grouping val="standard"/>
        <c:varyColors val="0"/>
        <c:ser>
          <c:idx val="0"/>
          <c:order val="0"/>
          <c:tx>
            <c:strRef>
              <c:f>'endeks sonuçları'!$A$2</c:f>
              <c:strCache>
                <c:ptCount val="1"/>
                <c:pt idx="0">
                  <c:v>Faaliyet Endeksi</c:v>
                </c:pt>
              </c:strCache>
            </c:strRef>
          </c:tx>
          <c:spPr>
            <a:ln w="25400" cap="rnd">
              <a:solidFill>
                <a:schemeClr val="accent1"/>
              </a:solidFill>
              <a:round/>
            </a:ln>
            <a:effectLst/>
          </c:spPr>
          <c:marker>
            <c:symbol val="none"/>
          </c:marker>
          <c:dLbls>
            <c:delete val="1"/>
          </c:dLbls>
          <c:cat>
            <c:strRef>
              <c:f>'endeks sonuçları'!$DC$1:$DO$1</c:f>
              <c:strCache>
                <c:ptCount val="13"/>
                <c:pt idx="0">
                  <c:v>Nisan</c:v>
                </c:pt>
                <c:pt idx="1">
                  <c:v>Mayıs</c:v>
                </c:pt>
                <c:pt idx="2">
                  <c:v>Haziran</c:v>
                </c:pt>
                <c:pt idx="3">
                  <c:v>Temmuz</c:v>
                </c:pt>
                <c:pt idx="4">
                  <c:v>Ağustos</c:v>
                </c:pt>
                <c:pt idx="5">
                  <c:v>Eylül</c:v>
                </c:pt>
                <c:pt idx="6">
                  <c:v>Ekim</c:v>
                </c:pt>
                <c:pt idx="7">
                  <c:v>Kasım</c:v>
                </c:pt>
                <c:pt idx="8">
                  <c:v>Aralık</c:v>
                </c:pt>
                <c:pt idx="9">
                  <c:v>2026 Ocak</c:v>
                </c:pt>
                <c:pt idx="10">
                  <c:v>Şubat</c:v>
                </c:pt>
                <c:pt idx="11">
                  <c:v>Mart</c:v>
                </c:pt>
                <c:pt idx="12">
                  <c:v>Nisan</c:v>
                </c:pt>
              </c:strCache>
            </c:strRef>
          </c:cat>
          <c:val>
            <c:numRef>
              <c:f>'endeks sonuçları'!$DC$2:$DO$2</c:f>
              <c:numCache>
                <c:formatCode>0.00</c:formatCode>
                <c:ptCount val="13"/>
                <c:pt idx="0">
                  <c:v>99.933333333333323</c:v>
                </c:pt>
                <c:pt idx="1">
                  <c:v>100.66666666666667</c:v>
                </c:pt>
                <c:pt idx="2">
                  <c:v>99.266666666666666</c:v>
                </c:pt>
                <c:pt idx="3">
                  <c:v>101.06666666666668</c:v>
                </c:pt>
                <c:pt idx="4">
                  <c:v>99.8</c:v>
                </c:pt>
                <c:pt idx="5">
                  <c:v>99.733333333333334</c:v>
                </c:pt>
                <c:pt idx="6">
                  <c:v>99.866666666666674</c:v>
                </c:pt>
                <c:pt idx="7">
                  <c:v>99.933333333333323</c:v>
                </c:pt>
                <c:pt idx="8">
                  <c:v>100.06666666666666</c:v>
                </c:pt>
                <c:pt idx="9">
                  <c:v>98.8</c:v>
                </c:pt>
                <c:pt idx="10">
                  <c:v>99.533333333333346</c:v>
                </c:pt>
                <c:pt idx="11">
                  <c:v>99.333333333333329</c:v>
                </c:pt>
                <c:pt idx="12">
                  <c:v>100.26666666666667</c:v>
                </c:pt>
              </c:numCache>
            </c:numRef>
          </c:val>
          <c:smooth val="0"/>
          <c:extLst xmlns:c16r2="http://schemas.microsoft.com/office/drawing/2015/06/chart">
            <c:ext xmlns:c16="http://schemas.microsoft.com/office/drawing/2014/chart" uri="{C3380CC4-5D6E-409C-BE32-E72D297353CC}">
              <c16:uniqueId val="{00000000-00D8-4B02-A654-4324C3E6DB04}"/>
            </c:ext>
          </c:extLst>
        </c:ser>
        <c:ser>
          <c:idx val="1"/>
          <c:order val="1"/>
          <c:tx>
            <c:strRef>
              <c:f>'endeks sonuçları'!$A$3</c:f>
              <c:strCache>
                <c:ptCount val="1"/>
                <c:pt idx="0">
                  <c:v>Güven Endeksi</c:v>
                </c:pt>
              </c:strCache>
            </c:strRef>
          </c:tx>
          <c:spPr>
            <a:ln w="25400" cap="rnd">
              <a:solidFill>
                <a:schemeClr val="accent2"/>
              </a:solidFill>
              <a:round/>
            </a:ln>
            <a:effectLst/>
          </c:spPr>
          <c:marker>
            <c:symbol val="none"/>
          </c:marker>
          <c:dLbls>
            <c:delete val="1"/>
          </c:dLbls>
          <c:cat>
            <c:strRef>
              <c:f>'endeks sonuçları'!$DC$1:$DO$1</c:f>
              <c:strCache>
                <c:ptCount val="13"/>
                <c:pt idx="0">
                  <c:v>Nisan</c:v>
                </c:pt>
                <c:pt idx="1">
                  <c:v>Mayıs</c:v>
                </c:pt>
                <c:pt idx="2">
                  <c:v>Haziran</c:v>
                </c:pt>
                <c:pt idx="3">
                  <c:v>Temmuz</c:v>
                </c:pt>
                <c:pt idx="4">
                  <c:v>Ağustos</c:v>
                </c:pt>
                <c:pt idx="5">
                  <c:v>Eylül</c:v>
                </c:pt>
                <c:pt idx="6">
                  <c:v>Ekim</c:v>
                </c:pt>
                <c:pt idx="7">
                  <c:v>Kasım</c:v>
                </c:pt>
                <c:pt idx="8">
                  <c:v>Aralık</c:v>
                </c:pt>
                <c:pt idx="9">
                  <c:v>2026 Ocak</c:v>
                </c:pt>
                <c:pt idx="10">
                  <c:v>Şubat</c:v>
                </c:pt>
                <c:pt idx="11">
                  <c:v>Mart</c:v>
                </c:pt>
                <c:pt idx="12">
                  <c:v>Nisan</c:v>
                </c:pt>
              </c:strCache>
            </c:strRef>
          </c:cat>
          <c:val>
            <c:numRef>
              <c:f>'endeks sonuçları'!$DC$3:$DO$3</c:f>
              <c:numCache>
                <c:formatCode>General</c:formatCode>
                <c:ptCount val="13"/>
                <c:pt idx="0">
                  <c:v>98.699999999999989</c:v>
                </c:pt>
                <c:pt idx="1">
                  <c:v>98.5</c:v>
                </c:pt>
                <c:pt idx="2">
                  <c:v>98.800000000000011</c:v>
                </c:pt>
                <c:pt idx="3">
                  <c:v>99.4</c:v>
                </c:pt>
                <c:pt idx="4">
                  <c:v>99.5</c:v>
                </c:pt>
                <c:pt idx="5">
                  <c:v>99.1</c:v>
                </c:pt>
                <c:pt idx="6">
                  <c:v>99.3</c:v>
                </c:pt>
                <c:pt idx="7">
                  <c:v>99.300000000000011</c:v>
                </c:pt>
                <c:pt idx="8">
                  <c:v>98.6</c:v>
                </c:pt>
                <c:pt idx="9">
                  <c:v>98.5</c:v>
                </c:pt>
                <c:pt idx="10">
                  <c:v>99.6</c:v>
                </c:pt>
                <c:pt idx="11">
                  <c:v>99.3</c:v>
                </c:pt>
                <c:pt idx="12">
                  <c:v>99.4</c:v>
                </c:pt>
              </c:numCache>
            </c:numRef>
          </c:val>
          <c:smooth val="0"/>
          <c:extLst xmlns:c16r2="http://schemas.microsoft.com/office/drawing/2015/06/chart">
            <c:ext xmlns:c16="http://schemas.microsoft.com/office/drawing/2014/chart" uri="{C3380CC4-5D6E-409C-BE32-E72D297353CC}">
              <c16:uniqueId val="{00000001-00D8-4B02-A654-4324C3E6DB04}"/>
            </c:ext>
          </c:extLst>
        </c:ser>
        <c:ser>
          <c:idx val="2"/>
          <c:order val="2"/>
          <c:tx>
            <c:strRef>
              <c:f>'endeks sonuçları'!$A$4</c:f>
              <c:strCache>
                <c:ptCount val="1"/>
                <c:pt idx="0">
                  <c:v>Beklenti Endeksi</c:v>
                </c:pt>
              </c:strCache>
            </c:strRef>
          </c:tx>
          <c:spPr>
            <a:ln w="25400" cap="rnd">
              <a:solidFill>
                <a:schemeClr val="accent3"/>
              </a:solidFill>
              <a:round/>
            </a:ln>
            <a:effectLst/>
          </c:spPr>
          <c:marker>
            <c:symbol val="none"/>
          </c:marker>
          <c:dLbls>
            <c:delete val="1"/>
          </c:dLbls>
          <c:cat>
            <c:strRef>
              <c:f>'endeks sonuçları'!$DC$1:$DO$1</c:f>
              <c:strCache>
                <c:ptCount val="13"/>
                <c:pt idx="0">
                  <c:v>Nisan</c:v>
                </c:pt>
                <c:pt idx="1">
                  <c:v>Mayıs</c:v>
                </c:pt>
                <c:pt idx="2">
                  <c:v>Haziran</c:v>
                </c:pt>
                <c:pt idx="3">
                  <c:v>Temmuz</c:v>
                </c:pt>
                <c:pt idx="4">
                  <c:v>Ağustos</c:v>
                </c:pt>
                <c:pt idx="5">
                  <c:v>Eylül</c:v>
                </c:pt>
                <c:pt idx="6">
                  <c:v>Ekim</c:v>
                </c:pt>
                <c:pt idx="7">
                  <c:v>Kasım</c:v>
                </c:pt>
                <c:pt idx="8">
                  <c:v>Aralık</c:v>
                </c:pt>
                <c:pt idx="9">
                  <c:v>2026 Ocak</c:v>
                </c:pt>
                <c:pt idx="10">
                  <c:v>Şubat</c:v>
                </c:pt>
                <c:pt idx="11">
                  <c:v>Mart</c:v>
                </c:pt>
                <c:pt idx="12">
                  <c:v>Nisan</c:v>
                </c:pt>
              </c:strCache>
            </c:strRef>
          </c:cat>
          <c:val>
            <c:numRef>
              <c:f>'endeks sonuçları'!$DC$4:$DO$4</c:f>
              <c:numCache>
                <c:formatCode>General</c:formatCode>
                <c:ptCount val="13"/>
                <c:pt idx="0">
                  <c:v>99.699999999999989</c:v>
                </c:pt>
                <c:pt idx="1">
                  <c:v>99.2</c:v>
                </c:pt>
                <c:pt idx="2">
                  <c:v>99.5</c:v>
                </c:pt>
                <c:pt idx="3">
                  <c:v>100.30000000000001</c:v>
                </c:pt>
                <c:pt idx="4">
                  <c:v>99.699999999999989</c:v>
                </c:pt>
                <c:pt idx="5">
                  <c:v>99.800000000000011</c:v>
                </c:pt>
                <c:pt idx="6">
                  <c:v>99.699999999999989</c:v>
                </c:pt>
                <c:pt idx="7">
                  <c:v>99.800000000000011</c:v>
                </c:pt>
                <c:pt idx="8">
                  <c:v>99.6</c:v>
                </c:pt>
                <c:pt idx="9">
                  <c:v>99.7</c:v>
                </c:pt>
                <c:pt idx="10">
                  <c:v>99.3</c:v>
                </c:pt>
                <c:pt idx="11">
                  <c:v>99.7</c:v>
                </c:pt>
                <c:pt idx="12">
                  <c:v>99.800000000000011</c:v>
                </c:pt>
              </c:numCache>
            </c:numRef>
          </c:val>
          <c:smooth val="0"/>
          <c:extLst xmlns:c16r2="http://schemas.microsoft.com/office/drawing/2015/06/chart">
            <c:ext xmlns:c16="http://schemas.microsoft.com/office/drawing/2014/chart" uri="{C3380CC4-5D6E-409C-BE32-E72D297353CC}">
              <c16:uniqueId val="{00000002-00D8-4B02-A654-4324C3E6DB04}"/>
            </c:ext>
          </c:extLst>
        </c:ser>
        <c:ser>
          <c:idx val="3"/>
          <c:order val="3"/>
          <c:tx>
            <c:strRef>
              <c:f>'endeks sonuçları'!$A$5</c:f>
              <c:strCache>
                <c:ptCount val="1"/>
                <c:pt idx="0">
                  <c:v>Hazır Beton Endeksi</c:v>
                </c:pt>
              </c:strCache>
            </c:strRef>
          </c:tx>
          <c:spPr>
            <a:ln w="63500" cap="rnd">
              <a:solidFill>
                <a:schemeClr val="accent4"/>
              </a:solidFill>
              <a:round/>
            </a:ln>
            <a:effectLst/>
          </c:spPr>
          <c:marker>
            <c:symbol val="none"/>
          </c:marker>
          <c:dLbls>
            <c:delete val="1"/>
          </c:dLbls>
          <c:cat>
            <c:strRef>
              <c:f>'endeks sonuçları'!$DC$1:$DO$1</c:f>
              <c:strCache>
                <c:ptCount val="13"/>
                <c:pt idx="0">
                  <c:v>Nisan</c:v>
                </c:pt>
                <c:pt idx="1">
                  <c:v>Mayıs</c:v>
                </c:pt>
                <c:pt idx="2">
                  <c:v>Haziran</c:v>
                </c:pt>
                <c:pt idx="3">
                  <c:v>Temmuz</c:v>
                </c:pt>
                <c:pt idx="4">
                  <c:v>Ağustos</c:v>
                </c:pt>
                <c:pt idx="5">
                  <c:v>Eylül</c:v>
                </c:pt>
                <c:pt idx="6">
                  <c:v>Ekim</c:v>
                </c:pt>
                <c:pt idx="7">
                  <c:v>Kasım</c:v>
                </c:pt>
                <c:pt idx="8">
                  <c:v>Aralık</c:v>
                </c:pt>
                <c:pt idx="9">
                  <c:v>2026 Ocak</c:v>
                </c:pt>
                <c:pt idx="10">
                  <c:v>Şubat</c:v>
                </c:pt>
                <c:pt idx="11">
                  <c:v>Mart</c:v>
                </c:pt>
                <c:pt idx="12">
                  <c:v>Nisan</c:v>
                </c:pt>
              </c:strCache>
            </c:strRef>
          </c:cat>
          <c:val>
            <c:numRef>
              <c:f>'endeks sonuçları'!$DC$5:$DO$5</c:f>
              <c:numCache>
                <c:formatCode>0.0</c:formatCode>
                <c:ptCount val="13"/>
                <c:pt idx="0">
                  <c:v>99.444444444444443</c:v>
                </c:pt>
                <c:pt idx="1">
                  <c:v>99.455555555555563</c:v>
                </c:pt>
                <c:pt idx="2">
                  <c:v>99.188888888888883</c:v>
                </c:pt>
                <c:pt idx="3">
                  <c:v>100.25555555555557</c:v>
                </c:pt>
                <c:pt idx="4">
                  <c:v>99.666666666666671</c:v>
                </c:pt>
                <c:pt idx="5">
                  <c:v>99.544444444444437</c:v>
                </c:pt>
                <c:pt idx="6">
                  <c:v>99.62222222222222</c:v>
                </c:pt>
                <c:pt idx="7">
                  <c:v>99.677777777777791</c:v>
                </c:pt>
                <c:pt idx="8">
                  <c:v>99.422222222222217</c:v>
                </c:pt>
                <c:pt idx="9">
                  <c:v>99</c:v>
                </c:pt>
                <c:pt idx="10">
                  <c:v>99.477777777777774</c:v>
                </c:pt>
                <c:pt idx="11">
                  <c:v>99.444444444444443</c:v>
                </c:pt>
                <c:pt idx="12">
                  <c:v>99.822222222222237</c:v>
                </c:pt>
              </c:numCache>
            </c:numRef>
          </c:val>
          <c:smooth val="0"/>
          <c:extLst xmlns:c16r2="http://schemas.microsoft.com/office/drawing/2015/06/chart">
            <c:ext xmlns:c16="http://schemas.microsoft.com/office/drawing/2014/chart" uri="{C3380CC4-5D6E-409C-BE32-E72D297353CC}">
              <c16:uniqueId val="{00000003-00D8-4B02-A654-4324C3E6DB04}"/>
            </c:ext>
          </c:extLst>
        </c:ser>
        <c:ser>
          <c:idx val="4"/>
          <c:order val="4"/>
          <c:tx>
            <c:strRef>
              <c:f>'endeks sonuçları'!$A$6</c:f>
              <c:strCache>
                <c:ptCount val="1"/>
              </c:strCache>
            </c:strRef>
          </c:tx>
          <c:spPr>
            <a:ln w="22225" cap="rnd">
              <a:solidFill>
                <a:schemeClr val="bg1">
                  <a:lumMod val="65000"/>
                </a:schemeClr>
              </a:solidFill>
              <a:prstDash val="sysDash"/>
              <a:round/>
            </a:ln>
            <a:effectLst/>
          </c:spPr>
          <c:marker>
            <c:symbol val="none"/>
          </c:marker>
          <c:dLbls>
            <c:delete val="1"/>
          </c:dLbls>
          <c:cat>
            <c:strRef>
              <c:f>'endeks sonuçları'!$DC$1:$DO$1</c:f>
              <c:strCache>
                <c:ptCount val="13"/>
                <c:pt idx="0">
                  <c:v>Nisan</c:v>
                </c:pt>
                <c:pt idx="1">
                  <c:v>Mayıs</c:v>
                </c:pt>
                <c:pt idx="2">
                  <c:v>Haziran</c:v>
                </c:pt>
                <c:pt idx="3">
                  <c:v>Temmuz</c:v>
                </c:pt>
                <c:pt idx="4">
                  <c:v>Ağustos</c:v>
                </c:pt>
                <c:pt idx="5">
                  <c:v>Eylül</c:v>
                </c:pt>
                <c:pt idx="6">
                  <c:v>Ekim</c:v>
                </c:pt>
                <c:pt idx="7">
                  <c:v>Kasım</c:v>
                </c:pt>
                <c:pt idx="8">
                  <c:v>Aralık</c:v>
                </c:pt>
                <c:pt idx="9">
                  <c:v>2026 Ocak</c:v>
                </c:pt>
                <c:pt idx="10">
                  <c:v>Şubat</c:v>
                </c:pt>
                <c:pt idx="11">
                  <c:v>Mart</c:v>
                </c:pt>
                <c:pt idx="12">
                  <c:v>Nisan</c:v>
                </c:pt>
              </c:strCache>
            </c:strRef>
          </c:cat>
          <c:val>
            <c:numRef>
              <c:f>'endeks sonuçları'!$DC$6:$DO$6</c:f>
              <c:numCache>
                <c:formatCode>0.00</c:formatCode>
                <c:ptCount val="13"/>
                <c:pt idx="0">
                  <c:v>100</c:v>
                </c:pt>
                <c:pt idx="1">
                  <c:v>100</c:v>
                </c:pt>
                <c:pt idx="2">
                  <c:v>100</c:v>
                </c:pt>
                <c:pt idx="3">
                  <c:v>100</c:v>
                </c:pt>
                <c:pt idx="4">
                  <c:v>100</c:v>
                </c:pt>
                <c:pt idx="5">
                  <c:v>100</c:v>
                </c:pt>
                <c:pt idx="6">
                  <c:v>100</c:v>
                </c:pt>
                <c:pt idx="7">
                  <c:v>100</c:v>
                </c:pt>
                <c:pt idx="8">
                  <c:v>100</c:v>
                </c:pt>
                <c:pt idx="9">
                  <c:v>100</c:v>
                </c:pt>
                <c:pt idx="10">
                  <c:v>100</c:v>
                </c:pt>
                <c:pt idx="11">
                  <c:v>100</c:v>
                </c:pt>
                <c:pt idx="12">
                  <c:v>100</c:v>
                </c:pt>
              </c:numCache>
            </c:numRef>
          </c:val>
          <c:smooth val="0"/>
          <c:extLst xmlns:c16r2="http://schemas.microsoft.com/office/drawing/2015/06/chart">
            <c:ext xmlns:c16="http://schemas.microsoft.com/office/drawing/2014/chart" uri="{C3380CC4-5D6E-409C-BE32-E72D297353CC}">
              <c16:uniqueId val="{00000004-00D8-4B02-A654-4324C3E6DB04}"/>
            </c:ext>
          </c:extLst>
        </c:ser>
        <c:dLbls>
          <c:showLegendKey val="0"/>
          <c:showVal val="1"/>
          <c:showCatName val="0"/>
          <c:showSerName val="0"/>
          <c:showPercent val="0"/>
          <c:showBubbleSize val="0"/>
        </c:dLbls>
        <c:marker val="1"/>
        <c:smooth val="0"/>
        <c:axId val="183485952"/>
        <c:axId val="182618944"/>
      </c:lineChart>
      <c:catAx>
        <c:axId val="183485952"/>
        <c:scaling>
          <c:orientation val="minMax"/>
        </c:scaling>
        <c:delete val="0"/>
        <c:axPos val="b"/>
        <c:numFmt formatCode="General" sourceLinked="1"/>
        <c:majorTickMark val="out"/>
        <c:minorTickMark val="none"/>
        <c:tickLblPos val="nextTo"/>
        <c:spPr>
          <a:noFill/>
          <a:ln w="9525" cap="flat" cmpd="sng" algn="ctr">
            <a:solidFill>
              <a:schemeClr val="tx2">
                <a:lumMod val="15000"/>
                <a:lumOff val="85000"/>
              </a:schemeClr>
            </a:solidFill>
            <a:round/>
          </a:ln>
          <a:effectLst/>
        </c:spPr>
        <c:txPr>
          <a:bodyPr rot="5400000" spcFirstLastPara="1" vertOverflow="ellipsis" vert="horz" wrap="square" anchor="ctr" anchorCtr="1"/>
          <a:lstStyle/>
          <a:p>
            <a:pPr>
              <a:defRPr lang="tr-TR" sz="1000" b="0" i="0" u="none" strike="noStrike" kern="1200" baseline="0">
                <a:solidFill>
                  <a:schemeClr val="tx2"/>
                </a:solidFill>
                <a:latin typeface="+mn-lt"/>
                <a:ea typeface="+mn-ea"/>
                <a:cs typeface="+mn-cs"/>
              </a:defRPr>
            </a:pPr>
            <a:endParaRPr lang="tr-TR"/>
          </a:p>
        </c:txPr>
        <c:crossAx val="182618944"/>
        <c:crosses val="autoZero"/>
        <c:auto val="1"/>
        <c:lblAlgn val="ctr"/>
        <c:lblOffset val="100"/>
        <c:noMultiLvlLbl val="0"/>
      </c:catAx>
      <c:valAx>
        <c:axId val="182618944"/>
        <c:scaling>
          <c:orientation val="minMax"/>
          <c:max val="103"/>
          <c:min val="96.5"/>
        </c:scaling>
        <c:delete val="0"/>
        <c:axPos val="l"/>
        <c:majorGridlines>
          <c:spPr>
            <a:ln w="9525" cap="flat" cmpd="sng" algn="ctr">
              <a:solidFill>
                <a:schemeClr val="tx2">
                  <a:lumMod val="15000"/>
                  <a:lumOff val="85000"/>
                </a:schemeClr>
              </a:solidFill>
              <a:round/>
            </a:ln>
            <a:effectLst/>
          </c:spPr>
        </c:majorGridlines>
        <c:minorGridlines>
          <c:spPr>
            <a:ln>
              <a:noFill/>
            </a:ln>
            <a:effectLst/>
          </c:spPr>
        </c:minorGridlines>
        <c:numFmt formatCode="0.00" sourceLinked="1"/>
        <c:majorTickMark val="none"/>
        <c:minorTickMark val="none"/>
        <c:tickLblPos val="nextTo"/>
        <c:spPr>
          <a:noFill/>
          <a:ln>
            <a:solidFill>
              <a:schemeClr val="accent1"/>
            </a:solidFill>
          </a:ln>
          <a:effectLst/>
        </c:spPr>
        <c:txPr>
          <a:bodyPr rot="-60000000" spcFirstLastPara="1" vertOverflow="ellipsis" vert="horz" wrap="square" anchor="ctr" anchorCtr="1"/>
          <a:lstStyle/>
          <a:p>
            <a:pPr>
              <a:defRPr lang="tr-TR" sz="1400" b="0" i="0" u="none" strike="noStrike" kern="1200" baseline="0">
                <a:solidFill>
                  <a:schemeClr val="tx2"/>
                </a:solidFill>
                <a:latin typeface="+mn-lt"/>
                <a:ea typeface="+mn-ea"/>
                <a:cs typeface="+mn-cs"/>
              </a:defRPr>
            </a:pPr>
            <a:endParaRPr lang="tr-TR"/>
          </a:p>
        </c:txPr>
        <c:crossAx val="183485952"/>
        <c:crosses val="autoZero"/>
        <c:crossBetween val="between"/>
      </c:valAx>
      <c:spPr>
        <a:noFill/>
        <a:ln>
          <a:noFill/>
        </a:ln>
        <a:effectLst/>
      </c:spPr>
    </c:plotArea>
    <c:legend>
      <c:legendPos val="b"/>
      <c:legendEntry>
        <c:idx val="4"/>
        <c:delete val="1"/>
      </c:legendEntry>
      <c:layout>
        <c:manualLayout>
          <c:xMode val="edge"/>
          <c:yMode val="edge"/>
          <c:x val="0.25009848886331199"/>
          <c:y val="0.65497830359145304"/>
          <c:w val="0.59165168493230003"/>
          <c:h val="0.116542353479392"/>
        </c:manualLayout>
      </c:layout>
      <c:overlay val="0"/>
      <c:spPr>
        <a:noFill/>
        <a:ln>
          <a:noFill/>
        </a:ln>
        <a:effectLst/>
      </c:spPr>
      <c:txPr>
        <a:bodyPr rot="0" spcFirstLastPara="1" vertOverflow="ellipsis" vert="horz" wrap="square" anchor="ctr" anchorCtr="1"/>
        <a:lstStyle/>
        <a:p>
          <a:pPr>
            <a:defRPr lang="tr-TR" sz="1100" b="0" i="0" u="none" strike="noStrike" kern="1200" baseline="0">
              <a:solidFill>
                <a:schemeClr val="tx2"/>
              </a:solidFill>
              <a:latin typeface="+mn-lt"/>
              <a:ea typeface="+mn-ea"/>
              <a:cs typeface="+mn-cs"/>
            </a:defRPr>
          </a:pPr>
          <a:endParaRPr lang="tr-TR"/>
        </a:p>
      </c:txPr>
    </c:legend>
    <c:plotVisOnly val="1"/>
    <c:dispBlanksAs val="gap"/>
    <c:showDLblsOverMax val="0"/>
  </c:chart>
  <c:spPr>
    <a:solidFill>
      <a:schemeClr val="bg1">
        <a:lumMod val="95000"/>
      </a:schemeClr>
    </a:solidFill>
    <a:ln w="9525" cap="flat" cmpd="sng" algn="ctr">
      <a:solidFill>
        <a:schemeClr val="tx2">
          <a:lumMod val="15000"/>
          <a:lumOff val="85000"/>
        </a:schemeClr>
      </a:solidFill>
      <a:round/>
    </a:ln>
    <a:effectLst/>
  </c:spPr>
  <c:txPr>
    <a:bodyPr/>
    <a:lstStyle/>
    <a:p>
      <a:pPr>
        <a:defRPr/>
      </a:pPr>
      <a:endParaRPr lang="tr-T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tr-T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0"/>
      <c:depthPercent val="100"/>
      <c:rAngAx val="1"/>
    </c:view3D>
    <c:floor>
      <c:thickness val="0"/>
    </c:floor>
    <c:sideWall>
      <c:thickness val="0"/>
    </c:sideWall>
    <c:backWall>
      <c:thickness val="0"/>
    </c:backWall>
    <c:plotArea>
      <c:layout/>
      <c:bar3DChart>
        <c:barDir val="bar"/>
        <c:grouping val="clustered"/>
        <c:varyColors val="0"/>
        <c:ser>
          <c:idx val="0"/>
          <c:order val="0"/>
          <c:invertIfNegative val="0"/>
          <c:dLbls>
            <c:dLbl>
              <c:idx val="0"/>
              <c:layout>
                <c:manualLayout>
                  <c:x val="0"/>
                  <c:y val="-3.2407407407407898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DBA2-432D-B9B5-5A24669C8DA4}"/>
                </c:ext>
              </c:extLst>
            </c:dLbl>
            <c:dLbl>
              <c:idx val="1"/>
              <c:layout>
                <c:manualLayout>
                  <c:x val="-1.1876159152876401E-3"/>
                  <c:y val="-4.1666666666666699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DBA2-432D-B9B5-5A24669C8DA4}"/>
                </c:ext>
              </c:extLst>
            </c:dLbl>
            <c:dLbl>
              <c:idx val="2"/>
              <c:layout>
                <c:manualLayout>
                  <c:x val="0"/>
                  <c:y val="-4.1666666666666602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DBA2-432D-B9B5-5A24669C8DA4}"/>
                </c:ext>
              </c:extLst>
            </c:dLbl>
            <c:dLbl>
              <c:idx val="3"/>
              <c:layout>
                <c:manualLayout>
                  <c:x val="9.3697859497864696E-4"/>
                  <c:y val="-1.94818405599353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DBA2-432D-B9B5-5A24669C8DA4}"/>
                </c:ext>
              </c:extLst>
            </c:dLbl>
            <c:spPr>
              <a:noFill/>
              <a:ln>
                <a:noFill/>
              </a:ln>
              <a:effectLst/>
            </c:spPr>
            <c:txPr>
              <a:bodyPr/>
              <a:lstStyle/>
              <a:p>
                <a:pPr>
                  <a:defRPr lang="tr-TR"/>
                </a:pPr>
                <a:endParaRPr lang="tr-TR"/>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'endeks sonuçları'!$A$2:$A$5</c:f>
              <c:strCache>
                <c:ptCount val="4"/>
                <c:pt idx="0">
                  <c:v>Faaliyet Endeksi</c:v>
                </c:pt>
                <c:pt idx="1">
                  <c:v>Güven Endeksi</c:v>
                </c:pt>
                <c:pt idx="2">
                  <c:v>Beklenti Endeksi</c:v>
                </c:pt>
                <c:pt idx="3">
                  <c:v>Hazır Beton Endeksi</c:v>
                </c:pt>
              </c:strCache>
            </c:strRef>
          </c:cat>
          <c:val>
            <c:numRef>
              <c:f>'endeks sonuçları'!$DP$2:$DP$5</c:f>
              <c:numCache>
                <c:formatCode>0.0%</c:formatCode>
                <c:ptCount val="4"/>
                <c:pt idx="0">
                  <c:v>3.3355570380254455E-3</c:v>
                </c:pt>
                <c:pt idx="1">
                  <c:v>7.092198581560457E-3</c:v>
                </c:pt>
                <c:pt idx="2">
                  <c:v>1.0030090270814718E-3</c:v>
                </c:pt>
                <c:pt idx="3">
                  <c:v>3.7988826815644112E-3</c:v>
                </c:pt>
              </c:numCache>
            </c:numRef>
          </c:val>
          <c:extLst xmlns:c16r2="http://schemas.microsoft.com/office/drawing/2015/06/chart">
            <c:ext xmlns:c16="http://schemas.microsoft.com/office/drawing/2014/chart" uri="{C3380CC4-5D6E-409C-BE32-E72D297353CC}">
              <c16:uniqueId val="{00000004-DBA2-432D-B9B5-5A24669C8DA4}"/>
            </c:ext>
          </c:extLst>
        </c:ser>
        <c:dLbls>
          <c:showLegendKey val="0"/>
          <c:showVal val="0"/>
          <c:showCatName val="0"/>
          <c:showSerName val="0"/>
          <c:showPercent val="0"/>
          <c:showBubbleSize val="0"/>
        </c:dLbls>
        <c:gapWidth val="150"/>
        <c:shape val="box"/>
        <c:axId val="182838784"/>
        <c:axId val="182620672"/>
        <c:axId val="0"/>
      </c:bar3DChart>
      <c:catAx>
        <c:axId val="182838784"/>
        <c:scaling>
          <c:orientation val="minMax"/>
        </c:scaling>
        <c:delete val="0"/>
        <c:axPos val="l"/>
        <c:numFmt formatCode="General" sourceLinked="1"/>
        <c:majorTickMark val="out"/>
        <c:minorTickMark val="none"/>
        <c:tickLblPos val="high"/>
        <c:txPr>
          <a:bodyPr anchor="ctr" anchorCtr="0"/>
          <a:lstStyle/>
          <a:p>
            <a:pPr>
              <a:defRPr lang="tr-TR"/>
            </a:pPr>
            <a:endParaRPr lang="tr-TR"/>
          </a:p>
        </c:txPr>
        <c:crossAx val="182620672"/>
        <c:crosses val="autoZero"/>
        <c:auto val="1"/>
        <c:lblAlgn val="ctr"/>
        <c:lblOffset val="100"/>
        <c:noMultiLvlLbl val="0"/>
      </c:catAx>
      <c:valAx>
        <c:axId val="182620672"/>
        <c:scaling>
          <c:orientation val="minMax"/>
          <c:min val="-0.03"/>
        </c:scaling>
        <c:delete val="0"/>
        <c:axPos val="b"/>
        <c:numFmt formatCode="0.0%" sourceLinked="1"/>
        <c:majorTickMark val="out"/>
        <c:minorTickMark val="none"/>
        <c:tickLblPos val="nextTo"/>
        <c:txPr>
          <a:bodyPr/>
          <a:lstStyle/>
          <a:p>
            <a:pPr>
              <a:defRPr lang="tr-TR"/>
            </a:pPr>
            <a:endParaRPr lang="tr-TR"/>
          </a:p>
        </c:txPr>
        <c:crossAx val="182838784"/>
        <c:crosses val="autoZero"/>
        <c:crossBetween val="between"/>
      </c:valAx>
      <c:spPr>
        <a:noFill/>
        <a:ln w="25400">
          <a:noFill/>
        </a:ln>
      </c:spPr>
    </c:plotArea>
    <c:plotVisOnly val="1"/>
    <c:dispBlanksAs val="gap"/>
    <c:showDLblsOverMax val="0"/>
  </c:chart>
  <c:externalData r:id="rId1">
    <c:autoUpdate val="0"/>
  </c:externalData>
</c:chartSpace>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Belge" ma:contentTypeID="0x01010043B0F92889A4EA43A65D5B549F390F06" ma:contentTypeVersion="10" ma:contentTypeDescription="Yeni belge oluşturun." ma:contentTypeScope="" ma:versionID="da64e008499383d17120004e4e3277f8">
  <xsd:schema xmlns:xsd="http://www.w3.org/2001/XMLSchema" xmlns:xs="http://www.w3.org/2001/XMLSchema" xmlns:p="http://schemas.microsoft.com/office/2006/metadata/properties" xmlns:ns2="967e69af-786a-4c50-8741-aa3b80a10e62" targetNamespace="http://schemas.microsoft.com/office/2006/metadata/properties" ma:root="true" ma:fieldsID="e77444bb067183d900f3b681e0253878" ns2:_="">
    <xsd:import namespace="967e69af-786a-4c50-8741-aa3b80a10e6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GenerationTime" minOccurs="0"/>
                <xsd:element ref="ns2:MediaServiceEventHashCode" minOccurs="0"/>
                <xsd:element ref="ns2:MediaServiceLocatio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7e69af-786a-4c50-8741-aa3b80a10e6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54FBFA-3336-4318-8F59-18257AFA1C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7e69af-786a-4c50-8741-aa3b80a10e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FBACCA-8550-45A5-B425-923FC834F10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5A814A7-E8B6-40E8-95D9-395D89582D11}">
  <ds:schemaRefs>
    <ds:schemaRef ds:uri="http://schemas.microsoft.com/sharepoint/v3/contenttype/forms"/>
  </ds:schemaRefs>
</ds:datastoreItem>
</file>

<file path=customXml/itemProps4.xml><?xml version="1.0" encoding="utf-8"?>
<ds:datastoreItem xmlns:ds="http://schemas.openxmlformats.org/officeDocument/2006/customXml" ds:itemID="{660E4BBD-B44A-4158-9E1E-0CDC08221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1291</Words>
  <Characters>7360</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Hakan</dc:creator>
  <cp:lastModifiedBy>Hakan</cp:lastModifiedBy>
  <cp:revision>10</cp:revision>
  <cp:lastPrinted>2026-05-22T08:12:00Z</cp:lastPrinted>
  <dcterms:created xsi:type="dcterms:W3CDTF">2026-05-20T05:41:00Z</dcterms:created>
  <dcterms:modified xsi:type="dcterms:W3CDTF">2026-05-22T08:12:00Z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0x01010043B0F92889A4EA43A65D5B549F390F06</vt:lpwstr>
  </property>
</Properties>
</file>