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5B2D2054"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1D44D9">
        <w:rPr>
          <w:rFonts w:ascii="Arial" w:hAnsi="Arial" w:cs="Arial"/>
          <w:b/>
          <w:color w:val="0D0D0D" w:themeColor="text1" w:themeTint="F2"/>
          <w:szCs w:val="24"/>
          <w:u w:val="single"/>
        </w:rPr>
        <w:t xml:space="preserve"> </w:t>
      </w:r>
      <w:r w:rsidR="0064291D">
        <w:rPr>
          <w:rFonts w:ascii="Arial" w:hAnsi="Arial" w:cs="Arial"/>
          <w:b/>
          <w:color w:val="0D0D0D" w:themeColor="text1" w:themeTint="F2"/>
          <w:szCs w:val="24"/>
          <w:u w:val="single"/>
        </w:rPr>
        <w:t>23</w:t>
      </w:r>
      <w:r w:rsidR="00977C59">
        <w:rPr>
          <w:rFonts w:ascii="Arial" w:hAnsi="Arial" w:cs="Arial"/>
          <w:b/>
          <w:color w:val="0D0D0D" w:themeColor="text1" w:themeTint="F2"/>
          <w:szCs w:val="24"/>
          <w:u w:val="single"/>
        </w:rPr>
        <w:t xml:space="preserve"> </w:t>
      </w:r>
      <w:r w:rsidR="0015738B">
        <w:rPr>
          <w:rFonts w:ascii="Arial" w:hAnsi="Arial" w:cs="Arial"/>
          <w:b/>
          <w:color w:val="0D0D0D" w:themeColor="text1" w:themeTint="F2"/>
          <w:szCs w:val="24"/>
          <w:u w:val="single"/>
        </w:rPr>
        <w:t>Temmuz</w:t>
      </w:r>
      <w:r w:rsidR="00BD6436" w:rsidRPr="00115824">
        <w:rPr>
          <w:rFonts w:ascii="Arial" w:hAnsi="Arial" w:cs="Arial"/>
          <w:b/>
          <w:color w:val="0D0D0D" w:themeColor="text1" w:themeTint="F2"/>
          <w:szCs w:val="24"/>
          <w:u w:val="single"/>
        </w:rPr>
        <w:t xml:space="preserve"> </w:t>
      </w:r>
      <w:r w:rsidR="007D6058" w:rsidRPr="00115824">
        <w:rPr>
          <w:rFonts w:ascii="Arial" w:hAnsi="Arial" w:cs="Arial"/>
          <w:b/>
          <w:szCs w:val="24"/>
          <w:u w:val="single"/>
        </w:rPr>
        <w:t>2</w:t>
      </w:r>
      <w:r w:rsidR="00727AAD" w:rsidRPr="00115824">
        <w:rPr>
          <w:rFonts w:ascii="Arial" w:hAnsi="Arial" w:cs="Arial"/>
          <w:b/>
          <w:szCs w:val="24"/>
          <w:u w:val="single"/>
        </w:rPr>
        <w:t>026</w:t>
      </w:r>
    </w:p>
    <w:p w14:paraId="682A0358" w14:textId="2A9171C5" w:rsidR="00977C59" w:rsidRDefault="00832E20" w:rsidP="00977C59">
      <w:pPr>
        <w:spacing w:before="120" w:after="120" w:line="264" w:lineRule="auto"/>
        <w:jc w:val="center"/>
        <w:rPr>
          <w:rFonts w:ascii="Arial" w:hAnsi="Arial" w:cs="Arial"/>
          <w:b/>
          <w:sz w:val="32"/>
          <w:szCs w:val="28"/>
        </w:rPr>
      </w:pPr>
      <w:r>
        <w:rPr>
          <w:rFonts w:ascii="Arial" w:hAnsi="Arial" w:cs="Arial"/>
          <w:b/>
          <w:sz w:val="32"/>
          <w:szCs w:val="28"/>
        </w:rPr>
        <w:t xml:space="preserve">İnşaatta </w:t>
      </w:r>
      <w:r w:rsidR="001D6E9F">
        <w:rPr>
          <w:rFonts w:ascii="Arial" w:hAnsi="Arial" w:cs="Arial"/>
          <w:b/>
          <w:sz w:val="32"/>
          <w:szCs w:val="28"/>
        </w:rPr>
        <w:t>sınırlı toparlanma</w:t>
      </w:r>
    </w:p>
    <w:p w14:paraId="31FFD4A9" w14:textId="3BAAE372" w:rsidR="00E32580"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15738B">
        <w:rPr>
          <w:rFonts w:ascii="Arial" w:hAnsi="Arial" w:cs="Arial"/>
          <w:b/>
        </w:rPr>
        <w:t>Haziran</w:t>
      </w:r>
      <w:r w:rsidR="00403D95">
        <w:rPr>
          <w:rFonts w:ascii="Arial" w:hAnsi="Arial" w:cs="Arial"/>
          <w:b/>
        </w:rPr>
        <w:t xml:space="preserve">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E32580" w:rsidRPr="00E32580">
        <w:rPr>
          <w:rFonts w:ascii="Arial" w:hAnsi="Arial" w:cs="Arial"/>
          <w:b/>
        </w:rPr>
        <w:t>Haziran ayı verileri, mayıs ayına kıyasla sektörün genel görünümünde sınırlı bir toparlanmaya işaret etmektedir.</w:t>
      </w:r>
      <w:r w:rsidR="00C76B61">
        <w:rPr>
          <w:rFonts w:ascii="Arial" w:hAnsi="Arial" w:cs="Arial"/>
          <w:b/>
        </w:rPr>
        <w:t xml:space="preserve"> </w:t>
      </w:r>
      <w:r w:rsidR="00832E20">
        <w:rPr>
          <w:rFonts w:ascii="Arial" w:hAnsi="Arial" w:cs="Arial"/>
          <w:b/>
        </w:rPr>
        <w:t>Yıllık bazda</w:t>
      </w:r>
      <w:r w:rsidR="00C76B61" w:rsidRPr="00C76B61">
        <w:rPr>
          <w:rFonts w:ascii="Arial" w:hAnsi="Arial" w:cs="Arial"/>
          <w:b/>
        </w:rPr>
        <w:t xml:space="preserve"> Faaliyet Endeksi'nin </w:t>
      </w:r>
      <w:r w:rsidR="001D6E9F" w:rsidRPr="001D6E9F">
        <w:rPr>
          <w:rFonts w:ascii="Arial" w:hAnsi="Arial" w:cs="Arial"/>
          <w:b/>
        </w:rPr>
        <w:t>en güçlü performansı sergilemesine</w:t>
      </w:r>
      <w:r w:rsidR="00C76B61" w:rsidRPr="00C76B61">
        <w:rPr>
          <w:rFonts w:ascii="Arial" w:hAnsi="Arial" w:cs="Arial"/>
          <w:b/>
        </w:rPr>
        <w:t xml:space="preserve"> karşın Güven ve Beklenti Endekslerindeki gerileme temkinli görünümün sürdüğünü gösterdi.</w:t>
      </w:r>
    </w:p>
    <w:p w14:paraId="49949D67" w14:textId="11E51588"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0148DEF3" w14:textId="0D52C155" w:rsidR="00C21D35" w:rsidRDefault="00042A9E" w:rsidP="00403D95">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C21D35">
        <w:rPr>
          <w:rFonts w:ascii="Arial" w:hAnsi="Arial" w:cs="Arial"/>
        </w:rPr>
        <w:t>Haziran</w:t>
      </w:r>
      <w:r w:rsidR="00F666BE">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w:t>
      </w:r>
      <w:r w:rsidR="00C21D35">
        <w:rPr>
          <w:rFonts w:ascii="Arial" w:hAnsi="Arial" w:cs="Arial"/>
        </w:rPr>
        <w:t>,</w:t>
      </w:r>
      <w:r w:rsidR="005B47D9">
        <w:rPr>
          <w:rFonts w:ascii="Arial" w:hAnsi="Arial" w:cs="Arial"/>
        </w:rPr>
        <w:t xml:space="preserve"> </w:t>
      </w:r>
      <w:r w:rsidR="00C21D35">
        <w:rPr>
          <w:rFonts w:ascii="Arial" w:hAnsi="Arial" w:cs="Arial"/>
        </w:rPr>
        <w:t>haziran ayı verileri</w:t>
      </w:r>
      <w:r w:rsidR="00C21D35" w:rsidRPr="00C21D35">
        <w:rPr>
          <w:rFonts w:ascii="Arial" w:hAnsi="Arial" w:cs="Arial"/>
        </w:rPr>
        <w:t xml:space="preserve"> mayıs ayına kıyasla sektörün genel görünümünde sınırlı bir toparlanmaya işaret etmektedir. Beklenti Endeksi’nde görülen iyileşmeye Faaliyet Endeksi'ndeki yükseliş de eşlik ederken, Hazır Beton Endeksi bu gelişmelere paralel olarak daha olumlu bir görünüm sergilemiştir.</w:t>
      </w:r>
    </w:p>
    <w:p w14:paraId="2227206B" w14:textId="3115BBF2" w:rsidR="00C21D35" w:rsidRPr="00C21D35" w:rsidRDefault="00C21D35" w:rsidP="00C21D35">
      <w:pPr>
        <w:spacing w:before="120" w:after="120" w:line="264" w:lineRule="auto"/>
        <w:jc w:val="both"/>
        <w:rPr>
          <w:rFonts w:ascii="Arial" w:hAnsi="Arial" w:cs="Arial"/>
        </w:rPr>
      </w:pPr>
      <w:r w:rsidRPr="00C21D35">
        <w:rPr>
          <w:rFonts w:ascii="Arial" w:hAnsi="Arial" w:cs="Arial"/>
        </w:rPr>
        <w:t>Güven Endeksi, mayıs ayındaki zayıf görünümün ardından haziran ayında da sınırlı bir gerileme göstermiştir. Endeksin 100,00 eşik değerinin altında kalmaya devam etmesi, sektörde güven algısının henüz kalıcı biçimde güçlenmediğini ortaya koymaktadır.</w:t>
      </w:r>
    </w:p>
    <w:p w14:paraId="4E097A23" w14:textId="77777777" w:rsidR="00C21D35" w:rsidRPr="00C21D35" w:rsidRDefault="00C21D35" w:rsidP="00C21D35">
      <w:pPr>
        <w:spacing w:before="120" w:after="120" w:line="264" w:lineRule="auto"/>
        <w:jc w:val="both"/>
        <w:rPr>
          <w:rFonts w:ascii="Arial" w:hAnsi="Arial" w:cs="Arial"/>
        </w:rPr>
      </w:pPr>
      <w:r w:rsidRPr="00C21D35">
        <w:rPr>
          <w:rFonts w:ascii="Arial" w:hAnsi="Arial" w:cs="Arial"/>
        </w:rPr>
        <w:t>Faaliyet Endeksi, mayıs ayında resmî tatillerin etkisiyle yaşanan yavaşlamanın ardından haziran ayında belirgin bir toparlanma kaydederek 100,1 seviyesine yükselmiş ve yeniden eşik değerin üzerine çıkmıştır. Bu gelişme, sektörde faaliyet hacminin yeniden büyüme bölgesine geçtiğine işaret etmektedir. Bununla birlikte, endeksin eşik değerin hemen üzerinde bulunması toparlanmanın henüz sınırlı olduğunu ve önümüzdeki aylarda kalıcılığının izlenmesi gerektiğini göstermektedir.</w:t>
      </w:r>
    </w:p>
    <w:p w14:paraId="5C9F7DE2" w14:textId="527F6A70" w:rsidR="00C21D35" w:rsidRPr="00C21D35" w:rsidRDefault="00C21D35" w:rsidP="00C21D35">
      <w:pPr>
        <w:spacing w:before="120" w:after="120" w:line="264" w:lineRule="auto"/>
        <w:jc w:val="both"/>
        <w:rPr>
          <w:rFonts w:ascii="Arial" w:hAnsi="Arial" w:cs="Arial"/>
        </w:rPr>
      </w:pPr>
      <w:r w:rsidRPr="00C21D35">
        <w:rPr>
          <w:rFonts w:ascii="Arial" w:hAnsi="Arial" w:cs="Arial"/>
        </w:rPr>
        <w:t xml:space="preserve">Beklenti Endeksi ise haziran ayında mayıs ayına göre yükselerek alt endeksler arasında konumunu korumuştur. Bu gelişme, sektör temsilcilerinin önümüzdeki </w:t>
      </w:r>
      <w:r w:rsidR="00B00910">
        <w:rPr>
          <w:rFonts w:ascii="Arial" w:hAnsi="Arial" w:cs="Arial"/>
        </w:rPr>
        <w:t xml:space="preserve">dönem </w:t>
      </w:r>
      <w:r w:rsidRPr="00C21D35">
        <w:rPr>
          <w:rFonts w:ascii="Arial" w:hAnsi="Arial" w:cs="Arial"/>
        </w:rPr>
        <w:t xml:space="preserve">ilişkin beklentilerinde temkinli duruşunun devam ettiğine işaret etmektedir. </w:t>
      </w:r>
    </w:p>
    <w:p w14:paraId="3ACF906D" w14:textId="4E282BC7" w:rsidR="00C21D35" w:rsidRDefault="00C21D35" w:rsidP="00C21D35">
      <w:pPr>
        <w:spacing w:before="120" w:after="120" w:line="264" w:lineRule="auto"/>
        <w:jc w:val="both"/>
        <w:rPr>
          <w:rFonts w:ascii="Arial" w:hAnsi="Arial" w:cs="Arial"/>
        </w:rPr>
      </w:pPr>
      <w:r w:rsidRPr="00C21D35">
        <w:rPr>
          <w:rFonts w:ascii="Arial" w:hAnsi="Arial" w:cs="Arial"/>
        </w:rPr>
        <w:t xml:space="preserve">Hazır Beton Endeksi de haziran ayında mayıs ayına göre iyileşme göstermiştir. Buna rağmen endeksin 100,00 eşik değerinin altında seyretmesi, sektörde genel görünümün henüz tam anlamıyla güçlenmediğini, faaliyet tarafındaki toparlanmanın güven ve genel endeks göstergelerine </w:t>
      </w:r>
      <w:r w:rsidR="00B00910">
        <w:rPr>
          <w:rFonts w:ascii="Arial" w:hAnsi="Arial" w:cs="Arial"/>
        </w:rPr>
        <w:t>h</w:t>
      </w:r>
      <w:r w:rsidR="00B00910" w:rsidRPr="00B00910">
        <w:rPr>
          <w:rFonts w:ascii="Arial" w:hAnsi="Arial" w:cs="Arial"/>
        </w:rPr>
        <w:t>â</w:t>
      </w:r>
      <w:r w:rsidR="00B00910">
        <w:rPr>
          <w:rFonts w:ascii="Arial" w:hAnsi="Arial" w:cs="Arial"/>
        </w:rPr>
        <w:t xml:space="preserve">len </w:t>
      </w:r>
      <w:r w:rsidRPr="00C21D35">
        <w:rPr>
          <w:rFonts w:ascii="Arial" w:hAnsi="Arial" w:cs="Arial"/>
        </w:rPr>
        <w:t>sınırlı ölçüde yansıdığını göstermektedir.</w:t>
      </w:r>
    </w:p>
    <w:p w14:paraId="3A2F07CF" w14:textId="6ACCA94C" w:rsidR="00C21D35" w:rsidRPr="00C21D35" w:rsidRDefault="00727AAD" w:rsidP="00C21D35">
      <w:pPr>
        <w:spacing w:before="120" w:after="120" w:line="264" w:lineRule="auto"/>
        <w:jc w:val="both"/>
        <w:rPr>
          <w:rFonts w:ascii="Arial" w:hAnsi="Arial" w:cs="Arial"/>
        </w:rPr>
      </w:pPr>
      <w:r>
        <w:rPr>
          <w:rFonts w:ascii="Arial" w:hAnsi="Arial" w:cs="Arial"/>
        </w:rPr>
        <w:t xml:space="preserve">Geçen yılın aynı ayına göre bakıldığında, </w:t>
      </w:r>
      <w:r w:rsidR="00C21D35">
        <w:rPr>
          <w:rFonts w:ascii="Arial" w:hAnsi="Arial" w:cs="Arial"/>
        </w:rPr>
        <w:t>haziran</w:t>
      </w:r>
      <w:r w:rsidR="00563A80" w:rsidRPr="00563A80">
        <w:rPr>
          <w:rFonts w:ascii="Arial" w:hAnsi="Arial" w:cs="Arial"/>
        </w:rPr>
        <w:t xml:space="preserve"> ayında </w:t>
      </w:r>
      <w:r w:rsidR="00C21D35" w:rsidRPr="00C21D35">
        <w:rPr>
          <w:rFonts w:ascii="Arial" w:hAnsi="Arial" w:cs="Arial"/>
        </w:rPr>
        <w:t>endekslerin birbirinden ayrışan bir görünüm sergilediği görülmektedir. Faaliyet Endeksi, yıllık bazda %0,8 oranında artış göstererek en güçlü performansı sergilemiş ve sektördeki fiili faaliyetlerin geçen yılın aynı dönemine kıyasla iyileştiğine işaret etmiştir. Hazır Beton Endeksi de %0,1 oranındaki sınırlı artışla pozitif bölgede yer almıştır. Buna karşılık, Güven Endeksi %0,3, Beklenti Endeksi ise %0,1 oranında gerileyerek sektör temsilcilerinin ekonomik görünüme ilişkin temkinli yaklaşımını koruduğunu göstermektedir.</w:t>
      </w:r>
    </w:p>
    <w:p w14:paraId="0F0BBA5F" w14:textId="40E753FE" w:rsidR="00C21D35" w:rsidRDefault="00C21D35" w:rsidP="00C21D35">
      <w:pPr>
        <w:spacing w:before="120" w:after="120" w:line="264" w:lineRule="auto"/>
        <w:jc w:val="both"/>
        <w:rPr>
          <w:rFonts w:ascii="Arial" w:hAnsi="Arial" w:cs="Arial"/>
        </w:rPr>
      </w:pPr>
      <w:r w:rsidRPr="00C21D35">
        <w:rPr>
          <w:rFonts w:ascii="Arial" w:hAnsi="Arial" w:cs="Arial"/>
        </w:rPr>
        <w:t>2026 yılının ikinci çeyreği sonunda haziran ayı verileri, sektörün yıllık bazda ılımlı bir toparlanma eğilimi sergilediğini ortaya koymaktadır. Faaliyet Endeksi’nin pozitif bölgeye geçmesi, sahadaki reel hareketliliğin geçen yılın aynı dönemine kıyasla arttığına işaret etmektedir. Buna karşılık</w:t>
      </w:r>
      <w:r w:rsidR="00832E20">
        <w:rPr>
          <w:rFonts w:ascii="Arial" w:hAnsi="Arial" w:cs="Arial"/>
        </w:rPr>
        <w:t>,</w:t>
      </w:r>
      <w:r w:rsidRPr="00C21D35">
        <w:rPr>
          <w:rFonts w:ascii="Arial" w:hAnsi="Arial" w:cs="Arial"/>
        </w:rPr>
        <w:t xml:space="preserve"> Güven ve Beklenti Endekslerindeki sınırlı gerileme, firmaların önümüzdeki döneme ilişkin değerlendirmelerinde </w:t>
      </w:r>
      <w:r w:rsidR="00B00910">
        <w:rPr>
          <w:rFonts w:ascii="Arial" w:hAnsi="Arial" w:cs="Arial"/>
        </w:rPr>
        <w:t>ihtiyatlı</w:t>
      </w:r>
      <w:r w:rsidRPr="00C21D35">
        <w:rPr>
          <w:rFonts w:ascii="Arial" w:hAnsi="Arial" w:cs="Arial"/>
        </w:rPr>
        <w:t xml:space="preserve"> </w:t>
      </w:r>
      <w:r w:rsidR="00B00910">
        <w:rPr>
          <w:rFonts w:ascii="Arial" w:hAnsi="Arial" w:cs="Arial"/>
        </w:rPr>
        <w:t>tutumlarını</w:t>
      </w:r>
      <w:r w:rsidRPr="00C21D35">
        <w:rPr>
          <w:rFonts w:ascii="Arial" w:hAnsi="Arial" w:cs="Arial"/>
        </w:rPr>
        <w:t xml:space="preserve"> sürdürdüğünü göstermektedir. Bu görünüm, sektörde fiili faaliyetlerin iyileşmeye başladığını, ancak bu iyileşmenin güven ve beklentilere henüz tam olarak yansımadığına işaret etmektedir.</w:t>
      </w:r>
    </w:p>
    <w:p w14:paraId="44125384" w14:textId="5023C51A" w:rsidR="00FB0C03" w:rsidRDefault="00D4198C" w:rsidP="00563A80">
      <w:pPr>
        <w:spacing w:before="120" w:after="120" w:line="264" w:lineRule="auto"/>
        <w:jc w:val="both"/>
        <w:rPr>
          <w:rFonts w:ascii="Arial" w:hAnsi="Arial" w:cs="Arial"/>
        </w:rPr>
      </w:pPr>
      <w:r w:rsidRPr="00D4198C">
        <w:rPr>
          <w:rFonts w:ascii="Arial" w:hAnsi="Arial" w:cs="Arial"/>
        </w:rPr>
        <w:lastRenderedPageBreak/>
        <w:t>Raporun sonuçlarını değerlendiren Türkiye Hazır Beton Birliği (THBB) Yönetim Kurulu Başkanı Yavuz Işık, “</w:t>
      </w:r>
      <w:r w:rsidR="001D6E9F" w:rsidRPr="001D6E9F">
        <w:rPr>
          <w:rFonts w:ascii="Arial" w:hAnsi="Arial" w:cs="Arial"/>
        </w:rPr>
        <w:t>Haziran ayında yıllık bazda faaliyetlerde toparlanma gözlenmesine rağmen, güven ve beklenti göstergelerindeki sınırlı gerileme sektörün temkinli görünümünü koruduğunu ortaya koydu.</w:t>
      </w:r>
      <w:r w:rsidR="00FB0C03">
        <w:rPr>
          <w:rFonts w:ascii="Arial" w:hAnsi="Arial" w:cs="Arial"/>
        </w:rPr>
        <w:t>” dedi.</w:t>
      </w:r>
    </w:p>
    <w:p w14:paraId="7C338341" w14:textId="21EEF55B"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C21D35" w:rsidRPr="00C21D35">
        <w:rPr>
          <w:rFonts w:ascii="Arial" w:hAnsi="Arial" w:cs="Arial"/>
        </w:rPr>
        <w:t xml:space="preserve">2026 temmuz ayı itibarıyla Türk inşaat sektörü, </w:t>
      </w:r>
      <w:proofErr w:type="spellStart"/>
      <w:r w:rsidR="00C21D35" w:rsidRPr="00C21D35">
        <w:rPr>
          <w:rFonts w:ascii="Arial" w:hAnsi="Arial" w:cs="Arial"/>
        </w:rPr>
        <w:t>dezenflasyon</w:t>
      </w:r>
      <w:proofErr w:type="spellEnd"/>
      <w:r w:rsidR="00C21D35" w:rsidRPr="00C21D35">
        <w:rPr>
          <w:rFonts w:ascii="Arial" w:hAnsi="Arial" w:cs="Arial"/>
        </w:rPr>
        <w:t xml:space="preserve"> sürecinin sağladığı görece iyileşmeye rağmen te</w:t>
      </w:r>
      <w:r w:rsidR="00B00910">
        <w:rPr>
          <w:rFonts w:ascii="Arial" w:hAnsi="Arial" w:cs="Arial"/>
        </w:rPr>
        <w:t xml:space="preserve">dbirli </w:t>
      </w:r>
      <w:r w:rsidR="00C21D35" w:rsidRPr="00C21D35">
        <w:rPr>
          <w:rFonts w:ascii="Arial" w:hAnsi="Arial" w:cs="Arial"/>
        </w:rPr>
        <w:t xml:space="preserve">bir </w:t>
      </w:r>
      <w:r w:rsidR="00B00910">
        <w:rPr>
          <w:rFonts w:ascii="Arial" w:hAnsi="Arial" w:cs="Arial"/>
        </w:rPr>
        <w:t>yaklaşım</w:t>
      </w:r>
      <w:r w:rsidR="00C21D35" w:rsidRPr="00C21D35">
        <w:rPr>
          <w:rFonts w:ascii="Arial" w:hAnsi="Arial" w:cs="Arial"/>
        </w:rPr>
        <w:t xml:space="preserve"> sergilemektedir. </w:t>
      </w:r>
      <w:r w:rsidR="00B00910">
        <w:rPr>
          <w:rFonts w:ascii="Arial" w:hAnsi="Arial" w:cs="Arial"/>
        </w:rPr>
        <w:t>E</w:t>
      </w:r>
      <w:r w:rsidR="00C21D35" w:rsidRPr="00C21D35">
        <w:rPr>
          <w:rFonts w:ascii="Arial" w:hAnsi="Arial" w:cs="Arial"/>
        </w:rPr>
        <w:t xml:space="preserve">nflasyondaki </w:t>
      </w:r>
      <w:r w:rsidR="00B00910">
        <w:rPr>
          <w:rFonts w:ascii="Arial" w:hAnsi="Arial" w:cs="Arial"/>
        </w:rPr>
        <w:t xml:space="preserve">yıllık </w:t>
      </w:r>
      <w:r w:rsidR="00C21D35" w:rsidRPr="00C21D35">
        <w:rPr>
          <w:rFonts w:ascii="Arial" w:hAnsi="Arial" w:cs="Arial"/>
        </w:rPr>
        <w:t>gerileme ve para politikasında yılın ilerleyen dönemlerine ilişkin faiz indirimi beklentileri sektör açısından olumlu bir zemin oluştururken, yüksek finansman maliyetleri ve krediye erişimde devam eden sıkı koşullar özel sektör yatırımlarını ve konut talebini sınırlamaya devam etmektedir. Buna karşılık</w:t>
      </w:r>
      <w:r w:rsidR="00832E20">
        <w:rPr>
          <w:rFonts w:ascii="Arial" w:hAnsi="Arial" w:cs="Arial"/>
        </w:rPr>
        <w:t>,</w:t>
      </w:r>
      <w:r w:rsidR="00C21D35" w:rsidRPr="00C21D35">
        <w:rPr>
          <w:rFonts w:ascii="Arial" w:hAnsi="Arial" w:cs="Arial"/>
        </w:rPr>
        <w:t xml:space="preserve"> deprem bölgesinde</w:t>
      </w:r>
      <w:r w:rsidR="00B00910">
        <w:rPr>
          <w:rFonts w:ascii="Arial" w:hAnsi="Arial" w:cs="Arial"/>
        </w:rPr>
        <w:t xml:space="preserve"> kısmen devam eden </w:t>
      </w:r>
      <w:r w:rsidR="00C21D35" w:rsidRPr="00C21D35">
        <w:rPr>
          <w:rFonts w:ascii="Arial" w:hAnsi="Arial" w:cs="Arial"/>
        </w:rPr>
        <w:t>yeniden inşa faaliyetleri, kentsel dönüşüm projeleri ve kamu altyapı yatırımları inşaat faaliyetlerini destekleyen temel unsurlar olmayı sürdürmektedir. Bu çerçevede sektör, bir yandan maliyet baskılarının hafiflemesi ve enflasyondaki düşüşten olumlu etkilenirken, diğer yandan finansman koşullarındaki sıkılık nedeniyle dengeli ve kademeli bir toparlanma süreci yaşamaktadır. Önümüzdeki dönemde inşaat sektöründeki büyümenin kalıcılığı, enflasyondaki düşüşün sürmesine, kredi koşullarının normalleşmesine ve para politikasındaki olası gevşeme adımlarına bağlı olacaktır.</w:t>
      </w:r>
      <w:r w:rsidR="00D4198C" w:rsidRPr="00D4198C">
        <w:rPr>
          <w:rFonts w:ascii="Arial" w:hAnsi="Arial" w:cs="Arial"/>
        </w:rPr>
        <w:t>”</w:t>
      </w:r>
      <w:r w:rsidR="00FB0C03">
        <w:rPr>
          <w:rFonts w:ascii="Arial" w:hAnsi="Arial" w:cs="Arial"/>
        </w:rPr>
        <w:t xml:space="preserve"> dedi.</w:t>
      </w:r>
    </w:p>
    <w:p w14:paraId="448608E8" w14:textId="55F0D2A6" w:rsidR="006C6DAD" w:rsidRDefault="008E2225" w:rsidP="006C6DAD">
      <w:pPr>
        <w:spacing w:after="120"/>
        <w:jc w:val="center"/>
        <w:outlineLvl w:val="1"/>
        <w:rPr>
          <w:noProof/>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p>
    <w:p w14:paraId="12CE1CA6" w14:textId="41BCB5A2" w:rsidR="00CB7496" w:rsidRDefault="0015738B" w:rsidP="006C6DAD">
      <w:pPr>
        <w:spacing w:after="120"/>
        <w:jc w:val="center"/>
        <w:outlineLvl w:val="1"/>
        <w:rPr>
          <w:rFonts w:ascii="Arial" w:hAnsi="Arial" w:cs="Arial"/>
          <w:b/>
        </w:rPr>
      </w:pPr>
      <w:r>
        <w:rPr>
          <w:noProof/>
        </w:rPr>
        <w:drawing>
          <wp:inline distT="0" distB="0" distL="0" distR="0" wp14:anchorId="7F90D626" wp14:editId="144DEC0A">
            <wp:extent cx="5760720" cy="3768090"/>
            <wp:effectExtent l="0" t="0" r="11430" b="22860"/>
            <wp:docPr id="1244498642" name="Grafik 1">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655C95" w14:textId="71886B11" w:rsidR="00671ED7" w:rsidRDefault="008E2225" w:rsidP="00EB004B">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198050A2" w14:textId="2C7736FC" w:rsidR="006025DB" w:rsidRDefault="0015738B" w:rsidP="00EB004B">
      <w:pPr>
        <w:spacing w:before="230" w:after="115"/>
        <w:contextualSpacing/>
        <w:jc w:val="center"/>
        <w:outlineLvl w:val="1"/>
        <w:rPr>
          <w:rFonts w:ascii="Arial" w:hAnsi="Arial" w:cs="Arial"/>
          <w:b/>
        </w:rPr>
      </w:pPr>
      <w:r>
        <w:rPr>
          <w:noProof/>
        </w:rPr>
        <w:drawing>
          <wp:inline distT="0" distB="0" distL="0" distR="0" wp14:anchorId="74852DF9" wp14:editId="0DAE725E">
            <wp:extent cx="5760720" cy="1356360"/>
            <wp:effectExtent l="0" t="0" r="11430" b="15240"/>
            <wp:docPr id="709927526" name="Grafik 1">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F9B9B15" w14:textId="1C8678B4" w:rsidR="00D2194E" w:rsidRDefault="00D2194E" w:rsidP="00447336">
      <w:pPr>
        <w:spacing w:before="230" w:after="115"/>
        <w:contextualSpacing/>
        <w:jc w:val="center"/>
        <w:outlineLvl w:val="1"/>
        <w:rPr>
          <w:rFonts w:ascii="Arial" w:hAnsi="Arial" w:cs="Arial"/>
          <w:b/>
        </w:rPr>
      </w:pPr>
    </w:p>
    <w:p w14:paraId="56145E4F" w14:textId="77777777" w:rsidR="00965EC8" w:rsidRDefault="00965EC8"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w:t>
      </w:r>
      <w:r w:rsidRPr="0022066D">
        <w:rPr>
          <w:rFonts w:ascii="Arial" w:hAnsi="Arial" w:cs="Arial"/>
          <w:sz w:val="16"/>
          <w:szCs w:val="16"/>
        </w:rPr>
        <w:lastRenderedPageBreak/>
        <w:t>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64291D" w:rsidP="007800F7">
      <w:pPr>
        <w:pStyle w:val="AralkYok1"/>
        <w:spacing w:line="276" w:lineRule="auto"/>
        <w:contextualSpacing/>
        <w:rPr>
          <w:rStyle w:val="Kpr"/>
          <w:rFonts w:ascii="Arial" w:eastAsia="Times New Roman" w:hAnsi="Arial" w:cs="Arial"/>
          <w:b/>
          <w:bCs/>
          <w:sz w:val="16"/>
          <w:szCs w:val="16"/>
        </w:rPr>
      </w:pPr>
      <w:hyperlink r:id="rId11"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2"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3"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E27"/>
    <w:rsid w:val="000012CC"/>
    <w:rsid w:val="00002545"/>
    <w:rsid w:val="0000406C"/>
    <w:rsid w:val="00004DFE"/>
    <w:rsid w:val="000142B4"/>
    <w:rsid w:val="00015216"/>
    <w:rsid w:val="000170E9"/>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9BB"/>
    <w:rsid w:val="000B4FCF"/>
    <w:rsid w:val="000B56FA"/>
    <w:rsid w:val="000B6063"/>
    <w:rsid w:val="000C0F35"/>
    <w:rsid w:val="000C3DD0"/>
    <w:rsid w:val="000C51C7"/>
    <w:rsid w:val="000C7E3E"/>
    <w:rsid w:val="000D11ED"/>
    <w:rsid w:val="000D25BF"/>
    <w:rsid w:val="000D4E1F"/>
    <w:rsid w:val="000D5280"/>
    <w:rsid w:val="000D769D"/>
    <w:rsid w:val="000D7872"/>
    <w:rsid w:val="000E01E3"/>
    <w:rsid w:val="000E4A8C"/>
    <w:rsid w:val="000E637A"/>
    <w:rsid w:val="000E6A4A"/>
    <w:rsid w:val="000E6F4B"/>
    <w:rsid w:val="000E71DB"/>
    <w:rsid w:val="000F5905"/>
    <w:rsid w:val="000F6ACF"/>
    <w:rsid w:val="00100CBB"/>
    <w:rsid w:val="00110ADB"/>
    <w:rsid w:val="00114095"/>
    <w:rsid w:val="00114134"/>
    <w:rsid w:val="00115824"/>
    <w:rsid w:val="00116448"/>
    <w:rsid w:val="00117E77"/>
    <w:rsid w:val="00121729"/>
    <w:rsid w:val="001242F3"/>
    <w:rsid w:val="00131534"/>
    <w:rsid w:val="00131D7F"/>
    <w:rsid w:val="0014421E"/>
    <w:rsid w:val="0015058D"/>
    <w:rsid w:val="00153530"/>
    <w:rsid w:val="00153E04"/>
    <w:rsid w:val="001548D4"/>
    <w:rsid w:val="0015738B"/>
    <w:rsid w:val="00162F0D"/>
    <w:rsid w:val="001638CC"/>
    <w:rsid w:val="00163FFE"/>
    <w:rsid w:val="001651BC"/>
    <w:rsid w:val="0017048D"/>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44D9"/>
    <w:rsid w:val="001D674D"/>
    <w:rsid w:val="001D6E9F"/>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207C"/>
    <w:rsid w:val="002646B6"/>
    <w:rsid w:val="00271D67"/>
    <w:rsid w:val="002736BE"/>
    <w:rsid w:val="0027466D"/>
    <w:rsid w:val="002751EF"/>
    <w:rsid w:val="00280E29"/>
    <w:rsid w:val="00281B65"/>
    <w:rsid w:val="00282596"/>
    <w:rsid w:val="002A0E28"/>
    <w:rsid w:val="002A265F"/>
    <w:rsid w:val="002B023F"/>
    <w:rsid w:val="002B240D"/>
    <w:rsid w:val="002B46E3"/>
    <w:rsid w:val="002C0439"/>
    <w:rsid w:val="002C5A3D"/>
    <w:rsid w:val="002D412A"/>
    <w:rsid w:val="002D458A"/>
    <w:rsid w:val="002D7D36"/>
    <w:rsid w:val="002D7EAE"/>
    <w:rsid w:val="002E1193"/>
    <w:rsid w:val="002E123B"/>
    <w:rsid w:val="002E3582"/>
    <w:rsid w:val="002E3CC0"/>
    <w:rsid w:val="002E597C"/>
    <w:rsid w:val="002E7E04"/>
    <w:rsid w:val="002F1F59"/>
    <w:rsid w:val="002F2B80"/>
    <w:rsid w:val="002F2E74"/>
    <w:rsid w:val="002F307B"/>
    <w:rsid w:val="002F3C2D"/>
    <w:rsid w:val="00300D53"/>
    <w:rsid w:val="0030154E"/>
    <w:rsid w:val="00304EAD"/>
    <w:rsid w:val="00306D8C"/>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9799E"/>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3D95"/>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365"/>
    <w:rsid w:val="00561B83"/>
    <w:rsid w:val="0056337F"/>
    <w:rsid w:val="00563A80"/>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2953"/>
    <w:rsid w:val="005E425D"/>
    <w:rsid w:val="005F051F"/>
    <w:rsid w:val="005F12C0"/>
    <w:rsid w:val="005F1B57"/>
    <w:rsid w:val="005F41A4"/>
    <w:rsid w:val="005F6F7D"/>
    <w:rsid w:val="005F707A"/>
    <w:rsid w:val="005F7597"/>
    <w:rsid w:val="0060100B"/>
    <w:rsid w:val="006025DB"/>
    <w:rsid w:val="00602672"/>
    <w:rsid w:val="00602D35"/>
    <w:rsid w:val="006037D9"/>
    <w:rsid w:val="00605F15"/>
    <w:rsid w:val="00610917"/>
    <w:rsid w:val="0061329F"/>
    <w:rsid w:val="0061563C"/>
    <w:rsid w:val="0061585C"/>
    <w:rsid w:val="00621552"/>
    <w:rsid w:val="00622D7F"/>
    <w:rsid w:val="00624C49"/>
    <w:rsid w:val="00624FEB"/>
    <w:rsid w:val="00632937"/>
    <w:rsid w:val="00633D02"/>
    <w:rsid w:val="00634980"/>
    <w:rsid w:val="00635442"/>
    <w:rsid w:val="0063714D"/>
    <w:rsid w:val="006378BE"/>
    <w:rsid w:val="00641EC7"/>
    <w:rsid w:val="0064291D"/>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96EE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D6AB4"/>
    <w:rsid w:val="007E38EA"/>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2E20"/>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055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77C59"/>
    <w:rsid w:val="00980E23"/>
    <w:rsid w:val="00984CF7"/>
    <w:rsid w:val="0098575F"/>
    <w:rsid w:val="00985950"/>
    <w:rsid w:val="00987E20"/>
    <w:rsid w:val="009917C0"/>
    <w:rsid w:val="009932AC"/>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910"/>
    <w:rsid w:val="00B00DF6"/>
    <w:rsid w:val="00B0136C"/>
    <w:rsid w:val="00B038EF"/>
    <w:rsid w:val="00B0446E"/>
    <w:rsid w:val="00B10BA4"/>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59BC"/>
    <w:rsid w:val="00B66ED1"/>
    <w:rsid w:val="00B70670"/>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4D34"/>
    <w:rsid w:val="00BC5C9D"/>
    <w:rsid w:val="00BC773B"/>
    <w:rsid w:val="00BC7B3A"/>
    <w:rsid w:val="00BC7DA0"/>
    <w:rsid w:val="00BD01CF"/>
    <w:rsid w:val="00BD0205"/>
    <w:rsid w:val="00BD2AF6"/>
    <w:rsid w:val="00BD643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1D35"/>
    <w:rsid w:val="00C238CA"/>
    <w:rsid w:val="00C274B4"/>
    <w:rsid w:val="00C3071A"/>
    <w:rsid w:val="00C36ED1"/>
    <w:rsid w:val="00C409D7"/>
    <w:rsid w:val="00C417B3"/>
    <w:rsid w:val="00C50BFB"/>
    <w:rsid w:val="00C516A8"/>
    <w:rsid w:val="00C51EA7"/>
    <w:rsid w:val="00C55A04"/>
    <w:rsid w:val="00C565BC"/>
    <w:rsid w:val="00C61482"/>
    <w:rsid w:val="00C6188A"/>
    <w:rsid w:val="00C63576"/>
    <w:rsid w:val="00C64628"/>
    <w:rsid w:val="00C66A32"/>
    <w:rsid w:val="00C75BD0"/>
    <w:rsid w:val="00C75F6B"/>
    <w:rsid w:val="00C76B61"/>
    <w:rsid w:val="00C8262C"/>
    <w:rsid w:val="00C833CD"/>
    <w:rsid w:val="00C92556"/>
    <w:rsid w:val="00C96AD4"/>
    <w:rsid w:val="00CA2199"/>
    <w:rsid w:val="00CA3B36"/>
    <w:rsid w:val="00CA5AFF"/>
    <w:rsid w:val="00CA679E"/>
    <w:rsid w:val="00CB28BE"/>
    <w:rsid w:val="00CB3550"/>
    <w:rsid w:val="00CB408B"/>
    <w:rsid w:val="00CB480C"/>
    <w:rsid w:val="00CB4A1E"/>
    <w:rsid w:val="00CB7496"/>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591"/>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C7111"/>
    <w:rsid w:val="00DD2139"/>
    <w:rsid w:val="00DE029D"/>
    <w:rsid w:val="00DE212A"/>
    <w:rsid w:val="00DE23A6"/>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2580"/>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04B"/>
    <w:rsid w:val="00EB01A9"/>
    <w:rsid w:val="00EB2622"/>
    <w:rsid w:val="00EB4085"/>
    <w:rsid w:val="00EB6C02"/>
    <w:rsid w:val="00EC2EF1"/>
    <w:rsid w:val="00EC3DDD"/>
    <w:rsid w:val="00EC45F0"/>
    <w:rsid w:val="00EC4B55"/>
    <w:rsid w:val="00EC598F"/>
    <w:rsid w:val="00ED0A74"/>
    <w:rsid w:val="00ED100C"/>
    <w:rsid w:val="00ED38ED"/>
    <w:rsid w:val="00ED622F"/>
    <w:rsid w:val="00ED7EA8"/>
    <w:rsid w:val="00EE1D26"/>
    <w:rsid w:val="00EF0963"/>
    <w:rsid w:val="00EF2340"/>
    <w:rsid w:val="00EF29C2"/>
    <w:rsid w:val="00EF585A"/>
    <w:rsid w:val="00F011EE"/>
    <w:rsid w:val="00F02E2A"/>
    <w:rsid w:val="00F10C33"/>
    <w:rsid w:val="00F10E65"/>
    <w:rsid w:val="00F1456F"/>
    <w:rsid w:val="00F20BA4"/>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66BE"/>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15:docId w15:val="{A3D16A41-4E17-4236-8556-387A2300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inar.taskin@thbb.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an.zengin@thbb.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bb.org/basin-od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k260\Downloads\2026%20may&#305;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k260\Downloads\2026%20may&#305;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sonuçları'!$DE$1:$DQ$1</c:f>
              <c:strCache>
                <c:ptCount val="13"/>
                <c:pt idx="0">
                  <c:v>Haziran</c:v>
                </c:pt>
                <c:pt idx="1">
                  <c:v>Temmuz</c:v>
                </c:pt>
                <c:pt idx="2">
                  <c:v>Ağustos</c:v>
                </c:pt>
                <c:pt idx="3">
                  <c:v>Eylül</c:v>
                </c:pt>
                <c:pt idx="4">
                  <c:v>Ekim</c:v>
                </c:pt>
                <c:pt idx="5">
                  <c:v>Kasım</c:v>
                </c:pt>
                <c:pt idx="6">
                  <c:v>Aralık</c:v>
                </c:pt>
                <c:pt idx="7">
                  <c:v>2026 Ocak</c:v>
                </c:pt>
                <c:pt idx="8">
                  <c:v>Şubat</c:v>
                </c:pt>
                <c:pt idx="9">
                  <c:v>Mart</c:v>
                </c:pt>
                <c:pt idx="10">
                  <c:v>Nisan</c:v>
                </c:pt>
                <c:pt idx="11">
                  <c:v>Mayıs</c:v>
                </c:pt>
                <c:pt idx="12">
                  <c:v>Haziran</c:v>
                </c:pt>
              </c:strCache>
            </c:strRef>
          </c:cat>
          <c:val>
            <c:numRef>
              <c:f>'endeks sonuçları'!$DE$2:$DQ$2</c:f>
              <c:numCache>
                <c:formatCode>0.00</c:formatCode>
                <c:ptCount val="13"/>
                <c:pt idx="0">
                  <c:v>99.266666666666666</c:v>
                </c:pt>
                <c:pt idx="1">
                  <c:v>101.06666666666668</c:v>
                </c:pt>
                <c:pt idx="2">
                  <c:v>99.8</c:v>
                </c:pt>
                <c:pt idx="3">
                  <c:v>99.733333333333334</c:v>
                </c:pt>
                <c:pt idx="4">
                  <c:v>99.866666666666674</c:v>
                </c:pt>
                <c:pt idx="5">
                  <c:v>99.933333333333323</c:v>
                </c:pt>
                <c:pt idx="6">
                  <c:v>100.06666666666666</c:v>
                </c:pt>
                <c:pt idx="7">
                  <c:v>98.8</c:v>
                </c:pt>
                <c:pt idx="8">
                  <c:v>99.533333333333346</c:v>
                </c:pt>
                <c:pt idx="9">
                  <c:v>99.333333333333329</c:v>
                </c:pt>
                <c:pt idx="10">
                  <c:v>100.26666666666667</c:v>
                </c:pt>
                <c:pt idx="11">
                  <c:v>98.600000000000009</c:v>
                </c:pt>
                <c:pt idx="12">
                  <c:v>100.10000000000001</c:v>
                </c:pt>
              </c:numCache>
            </c:numRef>
          </c:val>
          <c:smooth val="0"/>
          <c:extLst>
            <c:ext xmlns:c16="http://schemas.microsoft.com/office/drawing/2014/chart" uri="{C3380CC4-5D6E-409C-BE32-E72D297353CC}">
              <c16:uniqueId val="{00000000-23CA-48A5-8327-88BE01E553EA}"/>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sonuçları'!$DE$1:$DQ$1</c:f>
              <c:strCache>
                <c:ptCount val="13"/>
                <c:pt idx="0">
                  <c:v>Haziran</c:v>
                </c:pt>
                <c:pt idx="1">
                  <c:v>Temmuz</c:v>
                </c:pt>
                <c:pt idx="2">
                  <c:v>Ağustos</c:v>
                </c:pt>
                <c:pt idx="3">
                  <c:v>Eylül</c:v>
                </c:pt>
                <c:pt idx="4">
                  <c:v>Ekim</c:v>
                </c:pt>
                <c:pt idx="5">
                  <c:v>Kasım</c:v>
                </c:pt>
                <c:pt idx="6">
                  <c:v>Aralık</c:v>
                </c:pt>
                <c:pt idx="7">
                  <c:v>2026 Ocak</c:v>
                </c:pt>
                <c:pt idx="8">
                  <c:v>Şubat</c:v>
                </c:pt>
                <c:pt idx="9">
                  <c:v>Mart</c:v>
                </c:pt>
                <c:pt idx="10">
                  <c:v>Nisan</c:v>
                </c:pt>
                <c:pt idx="11">
                  <c:v>Mayıs</c:v>
                </c:pt>
                <c:pt idx="12">
                  <c:v>Haziran</c:v>
                </c:pt>
              </c:strCache>
            </c:strRef>
          </c:cat>
          <c:val>
            <c:numRef>
              <c:f>'endeks sonuçları'!$DE$3:$DQ$3</c:f>
              <c:numCache>
                <c:formatCode>General</c:formatCode>
                <c:ptCount val="13"/>
                <c:pt idx="0">
                  <c:v>98.800000000000011</c:v>
                </c:pt>
                <c:pt idx="1">
                  <c:v>99.4</c:v>
                </c:pt>
                <c:pt idx="2">
                  <c:v>99.5</c:v>
                </c:pt>
                <c:pt idx="3">
                  <c:v>99.1</c:v>
                </c:pt>
                <c:pt idx="4">
                  <c:v>99.3</c:v>
                </c:pt>
                <c:pt idx="5">
                  <c:v>99.300000000000011</c:v>
                </c:pt>
                <c:pt idx="6">
                  <c:v>98.6</c:v>
                </c:pt>
                <c:pt idx="7">
                  <c:v>98.5</c:v>
                </c:pt>
                <c:pt idx="8">
                  <c:v>99.6</c:v>
                </c:pt>
                <c:pt idx="9">
                  <c:v>99.3</c:v>
                </c:pt>
                <c:pt idx="10">
                  <c:v>99.4</c:v>
                </c:pt>
                <c:pt idx="11">
                  <c:v>98.65</c:v>
                </c:pt>
                <c:pt idx="12">
                  <c:v>98.5</c:v>
                </c:pt>
              </c:numCache>
            </c:numRef>
          </c:val>
          <c:smooth val="0"/>
          <c:extLst>
            <c:ext xmlns:c16="http://schemas.microsoft.com/office/drawing/2014/chart" uri="{C3380CC4-5D6E-409C-BE32-E72D297353CC}">
              <c16:uniqueId val="{00000001-23CA-48A5-8327-88BE01E553EA}"/>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sonuçları'!$DE$1:$DQ$1</c:f>
              <c:strCache>
                <c:ptCount val="13"/>
                <c:pt idx="0">
                  <c:v>Haziran</c:v>
                </c:pt>
                <c:pt idx="1">
                  <c:v>Temmuz</c:v>
                </c:pt>
                <c:pt idx="2">
                  <c:v>Ağustos</c:v>
                </c:pt>
                <c:pt idx="3">
                  <c:v>Eylül</c:v>
                </c:pt>
                <c:pt idx="4">
                  <c:v>Ekim</c:v>
                </c:pt>
                <c:pt idx="5">
                  <c:v>Kasım</c:v>
                </c:pt>
                <c:pt idx="6">
                  <c:v>Aralık</c:v>
                </c:pt>
                <c:pt idx="7">
                  <c:v>2026 Ocak</c:v>
                </c:pt>
                <c:pt idx="8">
                  <c:v>Şubat</c:v>
                </c:pt>
                <c:pt idx="9">
                  <c:v>Mart</c:v>
                </c:pt>
                <c:pt idx="10">
                  <c:v>Nisan</c:v>
                </c:pt>
                <c:pt idx="11">
                  <c:v>Mayıs</c:v>
                </c:pt>
                <c:pt idx="12">
                  <c:v>Haziran</c:v>
                </c:pt>
              </c:strCache>
            </c:strRef>
          </c:cat>
          <c:val>
            <c:numRef>
              <c:f>'endeks sonuçları'!$DE$4:$DQ$4</c:f>
              <c:numCache>
                <c:formatCode>General</c:formatCode>
                <c:ptCount val="13"/>
                <c:pt idx="0">
                  <c:v>99.5</c:v>
                </c:pt>
                <c:pt idx="1">
                  <c:v>100.30000000000001</c:v>
                </c:pt>
                <c:pt idx="2">
                  <c:v>99.699999999999989</c:v>
                </c:pt>
                <c:pt idx="3">
                  <c:v>99.800000000000011</c:v>
                </c:pt>
                <c:pt idx="4">
                  <c:v>99.699999999999989</c:v>
                </c:pt>
                <c:pt idx="5">
                  <c:v>99.800000000000011</c:v>
                </c:pt>
                <c:pt idx="6">
                  <c:v>99.6</c:v>
                </c:pt>
                <c:pt idx="7">
                  <c:v>99.7</c:v>
                </c:pt>
                <c:pt idx="8">
                  <c:v>99.3</c:v>
                </c:pt>
                <c:pt idx="9">
                  <c:v>99.7</c:v>
                </c:pt>
                <c:pt idx="10">
                  <c:v>99.800000000000011</c:v>
                </c:pt>
                <c:pt idx="11">
                  <c:v>99.25</c:v>
                </c:pt>
                <c:pt idx="12">
                  <c:v>99.4</c:v>
                </c:pt>
              </c:numCache>
            </c:numRef>
          </c:val>
          <c:smooth val="0"/>
          <c:extLst>
            <c:ext xmlns:c16="http://schemas.microsoft.com/office/drawing/2014/chart" uri="{C3380CC4-5D6E-409C-BE32-E72D297353CC}">
              <c16:uniqueId val="{00000002-23CA-48A5-8327-88BE01E553EA}"/>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sonuçları'!$DE$1:$DQ$1</c:f>
              <c:strCache>
                <c:ptCount val="13"/>
                <c:pt idx="0">
                  <c:v>Haziran</c:v>
                </c:pt>
                <c:pt idx="1">
                  <c:v>Temmuz</c:v>
                </c:pt>
                <c:pt idx="2">
                  <c:v>Ağustos</c:v>
                </c:pt>
                <c:pt idx="3">
                  <c:v>Eylül</c:v>
                </c:pt>
                <c:pt idx="4">
                  <c:v>Ekim</c:v>
                </c:pt>
                <c:pt idx="5">
                  <c:v>Kasım</c:v>
                </c:pt>
                <c:pt idx="6">
                  <c:v>Aralık</c:v>
                </c:pt>
                <c:pt idx="7">
                  <c:v>2026 Ocak</c:v>
                </c:pt>
                <c:pt idx="8">
                  <c:v>Şubat</c:v>
                </c:pt>
                <c:pt idx="9">
                  <c:v>Mart</c:v>
                </c:pt>
                <c:pt idx="10">
                  <c:v>Nisan</c:v>
                </c:pt>
                <c:pt idx="11">
                  <c:v>Mayıs</c:v>
                </c:pt>
                <c:pt idx="12">
                  <c:v>Haziran</c:v>
                </c:pt>
              </c:strCache>
            </c:strRef>
          </c:cat>
          <c:val>
            <c:numRef>
              <c:f>'endeks sonuçları'!$DE$5:$DQ$5</c:f>
              <c:numCache>
                <c:formatCode>0.0</c:formatCode>
                <c:ptCount val="13"/>
                <c:pt idx="0">
                  <c:v>99.188888888888883</c:v>
                </c:pt>
                <c:pt idx="1">
                  <c:v>100.25555555555557</c:v>
                </c:pt>
                <c:pt idx="2">
                  <c:v>99.666666666666671</c:v>
                </c:pt>
                <c:pt idx="3">
                  <c:v>99.544444444444437</c:v>
                </c:pt>
                <c:pt idx="4">
                  <c:v>99.62222222222222</c:v>
                </c:pt>
                <c:pt idx="5">
                  <c:v>99.677777777777791</c:v>
                </c:pt>
                <c:pt idx="6">
                  <c:v>99.422222222222217</c:v>
                </c:pt>
                <c:pt idx="7">
                  <c:v>99</c:v>
                </c:pt>
                <c:pt idx="8">
                  <c:v>99.477777777777774</c:v>
                </c:pt>
                <c:pt idx="9">
                  <c:v>99.444444444444443</c:v>
                </c:pt>
                <c:pt idx="10">
                  <c:v>99.822222222222237</c:v>
                </c:pt>
                <c:pt idx="11">
                  <c:v>98.833333333333329</c:v>
                </c:pt>
                <c:pt idx="12">
                  <c:v>99.333333333333329</c:v>
                </c:pt>
              </c:numCache>
            </c:numRef>
          </c:val>
          <c:smooth val="0"/>
          <c:extLst>
            <c:ext xmlns:c16="http://schemas.microsoft.com/office/drawing/2014/chart" uri="{C3380CC4-5D6E-409C-BE32-E72D297353CC}">
              <c16:uniqueId val="{00000003-23CA-48A5-8327-88BE01E553EA}"/>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sonuçları'!$DE$1:$DQ$1</c:f>
              <c:strCache>
                <c:ptCount val="13"/>
                <c:pt idx="0">
                  <c:v>Haziran</c:v>
                </c:pt>
                <c:pt idx="1">
                  <c:v>Temmuz</c:v>
                </c:pt>
                <c:pt idx="2">
                  <c:v>Ağustos</c:v>
                </c:pt>
                <c:pt idx="3">
                  <c:v>Eylül</c:v>
                </c:pt>
                <c:pt idx="4">
                  <c:v>Ekim</c:v>
                </c:pt>
                <c:pt idx="5">
                  <c:v>Kasım</c:v>
                </c:pt>
                <c:pt idx="6">
                  <c:v>Aralık</c:v>
                </c:pt>
                <c:pt idx="7">
                  <c:v>2026 Ocak</c:v>
                </c:pt>
                <c:pt idx="8">
                  <c:v>Şubat</c:v>
                </c:pt>
                <c:pt idx="9">
                  <c:v>Mart</c:v>
                </c:pt>
                <c:pt idx="10">
                  <c:v>Nisan</c:v>
                </c:pt>
                <c:pt idx="11">
                  <c:v>Mayıs</c:v>
                </c:pt>
                <c:pt idx="12">
                  <c:v>Haziran</c:v>
                </c:pt>
              </c:strCache>
            </c:strRef>
          </c:cat>
          <c:val>
            <c:numRef>
              <c:f>'endeks sonuçları'!$DE$6:$DQ$6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c:ext xmlns:c16="http://schemas.microsoft.com/office/drawing/2014/chart" uri="{C3380CC4-5D6E-409C-BE32-E72D297353CC}">
              <c16:uniqueId val="{00000004-23CA-48A5-8327-88BE01E553EA}"/>
            </c:ext>
          </c:extLst>
        </c:ser>
        <c:dLbls>
          <c:showLegendKey val="0"/>
          <c:showVal val="1"/>
          <c:showCatName val="0"/>
          <c:showSerName val="0"/>
          <c:showPercent val="0"/>
          <c:showBubbleSize val="0"/>
        </c:dLbls>
        <c:smooth val="0"/>
        <c:axId val="193180672"/>
        <c:axId val="189850176"/>
      </c:lineChart>
      <c:catAx>
        <c:axId val="19318067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89850176"/>
        <c:crosses val="autoZero"/>
        <c:auto val="1"/>
        <c:lblAlgn val="ctr"/>
        <c:lblOffset val="100"/>
        <c:noMultiLvlLbl val="0"/>
      </c:catAx>
      <c:valAx>
        <c:axId val="189850176"/>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93180672"/>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1.5432098765432098E-2"/>
                  <c:y val="-0.1189853726149400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D4-4B65-A1AE-7D01CCE65E58}"/>
                </c:ext>
              </c:extLst>
            </c:dLbl>
            <c:dLbl>
              <c:idx val="1"/>
              <c:layout>
                <c:manualLayout>
                  <c:x val="-1.1876159152876401E-3"/>
                  <c:y val="-4.1666666666666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1D4-4B65-A1AE-7D01CCE65E58}"/>
                </c:ext>
              </c:extLst>
            </c:dLbl>
            <c:dLbl>
              <c:idx val="2"/>
              <c:layout>
                <c:manualLayout>
                  <c:x val="0"/>
                  <c:y val="-4.16666666666666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1D4-4B65-A1AE-7D01CCE65E58}"/>
                </c:ext>
              </c:extLst>
            </c:dLbl>
            <c:dLbl>
              <c:idx val="3"/>
              <c:layout>
                <c:manualLayout>
                  <c:x val="9.3697859497864696E-4"/>
                  <c:y val="-1.94818405599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1D4-4B65-A1AE-7D01CCE65E58}"/>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sonuçları'!$DR$2:$DR$5</c:f>
              <c:numCache>
                <c:formatCode>0.0%</c:formatCode>
                <c:ptCount val="4"/>
                <c:pt idx="0">
                  <c:v>8.3948959032908946E-3</c:v>
                </c:pt>
                <c:pt idx="1">
                  <c:v>-3.0364372469636773E-3</c:v>
                </c:pt>
                <c:pt idx="2">
                  <c:v>-1.0050251256280836E-3</c:v>
                </c:pt>
                <c:pt idx="3">
                  <c:v>1.4562563011090079E-3</c:v>
                </c:pt>
              </c:numCache>
            </c:numRef>
          </c:val>
          <c:extLst>
            <c:ext xmlns:c16="http://schemas.microsoft.com/office/drawing/2014/chart" uri="{C3380CC4-5D6E-409C-BE32-E72D297353CC}">
              <c16:uniqueId val="{00000004-C1D4-4B65-A1AE-7D01CCE65E58}"/>
            </c:ext>
          </c:extLst>
        </c:ser>
        <c:dLbls>
          <c:showLegendKey val="0"/>
          <c:showVal val="0"/>
          <c:showCatName val="0"/>
          <c:showSerName val="0"/>
          <c:showPercent val="0"/>
          <c:showBubbleSize val="0"/>
        </c:dLbls>
        <c:gapWidth val="150"/>
        <c:shape val="box"/>
        <c:axId val="193181184"/>
        <c:axId val="189854208"/>
        <c:axId val="0"/>
      </c:bar3DChart>
      <c:catAx>
        <c:axId val="193181184"/>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89854208"/>
        <c:crosses val="autoZero"/>
        <c:auto val="1"/>
        <c:lblAlgn val="ctr"/>
        <c:lblOffset val="100"/>
        <c:noMultiLvlLbl val="0"/>
      </c:catAx>
      <c:valAx>
        <c:axId val="189854208"/>
        <c:scaling>
          <c:orientation val="minMax"/>
          <c:min val="-0.03"/>
        </c:scaling>
        <c:delete val="0"/>
        <c:axPos val="b"/>
        <c:numFmt formatCode="0.0%" sourceLinked="1"/>
        <c:majorTickMark val="out"/>
        <c:minorTickMark val="none"/>
        <c:tickLblPos val="nextTo"/>
        <c:txPr>
          <a:bodyPr/>
          <a:lstStyle/>
          <a:p>
            <a:pPr>
              <a:defRPr lang="tr-TR"/>
            </a:pPr>
            <a:endParaRPr lang="tr-TR"/>
          </a:p>
        </c:txPr>
        <c:crossAx val="193181184"/>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2.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F43FA5-2B4E-464E-BA1A-CF39596D047D}">
  <ds:schemaRefs>
    <ds:schemaRef ds:uri="http://schemas.openxmlformats.org/officeDocument/2006/bibliography"/>
  </ds:schemaRefs>
</ds:datastoreItem>
</file>

<file path=customXml/itemProps4.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1140</Words>
  <Characters>6501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8</cp:revision>
  <cp:lastPrinted>2026-07-20T11:16:00Z</cp:lastPrinted>
  <dcterms:created xsi:type="dcterms:W3CDTF">2026-06-17T13:13:00Z</dcterms:created>
  <dcterms:modified xsi:type="dcterms:W3CDTF">2026-07-23T05:50:00Z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