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215A9196"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5E492A">
        <w:rPr>
          <w:rFonts w:ascii="Arial" w:hAnsi="Arial" w:cs="Arial"/>
          <w:b/>
          <w:color w:val="0D0D0D" w:themeColor="text1" w:themeTint="F2"/>
          <w:szCs w:val="24"/>
          <w:u w:val="single"/>
        </w:rPr>
        <w:t>19</w:t>
      </w:r>
      <w:r w:rsidR="00977C59">
        <w:rPr>
          <w:rFonts w:ascii="Arial" w:hAnsi="Arial" w:cs="Arial"/>
          <w:b/>
          <w:color w:val="0D0D0D" w:themeColor="text1" w:themeTint="F2"/>
          <w:szCs w:val="24"/>
          <w:u w:val="single"/>
        </w:rPr>
        <w:t xml:space="preserve"> </w:t>
      </w:r>
      <w:r w:rsidR="00C36F19">
        <w:rPr>
          <w:rFonts w:ascii="Arial" w:hAnsi="Arial" w:cs="Arial"/>
          <w:b/>
          <w:color w:val="0D0D0D" w:themeColor="text1" w:themeTint="F2"/>
          <w:szCs w:val="24"/>
          <w:u w:val="single"/>
        </w:rPr>
        <w:t>Ağustos</w:t>
      </w:r>
      <w:r w:rsidR="00C36F19" w:rsidRPr="00115824">
        <w:rPr>
          <w:rFonts w:ascii="Arial" w:hAnsi="Arial" w:cs="Arial"/>
          <w:b/>
          <w:color w:val="0D0D0D" w:themeColor="text1" w:themeTint="F2"/>
          <w:szCs w:val="24"/>
          <w:u w:val="single"/>
        </w:rPr>
        <w:t xml:space="preserve"> </w:t>
      </w:r>
      <w:r w:rsidR="007D6058" w:rsidRPr="00115824">
        <w:rPr>
          <w:rFonts w:ascii="Arial" w:hAnsi="Arial" w:cs="Arial"/>
          <w:b/>
          <w:szCs w:val="24"/>
          <w:u w:val="single"/>
        </w:rPr>
        <w:t>2</w:t>
      </w:r>
      <w:r w:rsidR="00727AAD" w:rsidRPr="00115824">
        <w:rPr>
          <w:rFonts w:ascii="Arial" w:hAnsi="Arial" w:cs="Arial"/>
          <w:b/>
          <w:szCs w:val="24"/>
          <w:u w:val="single"/>
        </w:rPr>
        <w:t>026</w:t>
      </w:r>
    </w:p>
    <w:p w14:paraId="77812230" w14:textId="28171B33" w:rsidR="00A663DA" w:rsidRDefault="00A663DA" w:rsidP="00A663DA">
      <w:pPr>
        <w:spacing w:before="120" w:after="120" w:line="264" w:lineRule="auto"/>
        <w:jc w:val="center"/>
        <w:rPr>
          <w:rFonts w:ascii="Arial" w:hAnsi="Arial" w:cs="Arial"/>
          <w:b/>
          <w:sz w:val="32"/>
          <w:szCs w:val="28"/>
        </w:rPr>
      </w:pPr>
      <w:r w:rsidRPr="00A663DA">
        <w:rPr>
          <w:rFonts w:ascii="Arial" w:hAnsi="Arial" w:cs="Arial"/>
          <w:b/>
          <w:sz w:val="32"/>
          <w:szCs w:val="28"/>
        </w:rPr>
        <w:t>İnşaatta Temkinli Görünüm Sürüyor</w:t>
      </w:r>
    </w:p>
    <w:p w14:paraId="525FDAE0" w14:textId="30098C8A" w:rsidR="007E10F2"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B11175">
        <w:rPr>
          <w:rFonts w:ascii="Arial" w:hAnsi="Arial" w:cs="Arial"/>
          <w:b/>
        </w:rPr>
        <w:t xml:space="preserve">Temmuz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7E10F2" w:rsidRPr="007E10F2">
        <w:rPr>
          <w:rFonts w:ascii="Arial" w:hAnsi="Arial" w:cs="Arial"/>
          <w:b/>
        </w:rPr>
        <w:t>Haziran ve temmuz ayı verileri</w:t>
      </w:r>
      <w:r w:rsidR="00610B5A">
        <w:rPr>
          <w:rFonts w:ascii="Arial" w:hAnsi="Arial" w:cs="Arial"/>
          <w:b/>
        </w:rPr>
        <w:t xml:space="preserve">, temmuz ayında sektörde </w:t>
      </w:r>
      <w:r w:rsidR="007E10F2" w:rsidRPr="007E10F2">
        <w:rPr>
          <w:rFonts w:ascii="Arial" w:hAnsi="Arial" w:cs="Arial"/>
          <w:b/>
        </w:rPr>
        <w:t>sınırl</w:t>
      </w:r>
      <w:r w:rsidR="00BC65EB">
        <w:rPr>
          <w:rFonts w:ascii="Arial" w:hAnsi="Arial" w:cs="Arial"/>
          <w:b/>
        </w:rPr>
        <w:t>ı bir zayıflama</w:t>
      </w:r>
      <w:r w:rsidR="00610B5A">
        <w:rPr>
          <w:rFonts w:ascii="Arial" w:hAnsi="Arial" w:cs="Arial"/>
          <w:b/>
        </w:rPr>
        <w:t>ya</w:t>
      </w:r>
      <w:r w:rsidR="00BC65EB">
        <w:rPr>
          <w:rFonts w:ascii="Arial" w:hAnsi="Arial" w:cs="Arial"/>
          <w:b/>
        </w:rPr>
        <w:t xml:space="preserve"> </w:t>
      </w:r>
      <w:r w:rsidR="00610B5A">
        <w:rPr>
          <w:rFonts w:ascii="Arial" w:hAnsi="Arial" w:cs="Arial"/>
          <w:b/>
        </w:rPr>
        <w:t>işaret etmektedir</w:t>
      </w:r>
      <w:r w:rsidR="007E10F2" w:rsidRPr="007E10F2">
        <w:rPr>
          <w:rFonts w:ascii="Arial" w:hAnsi="Arial" w:cs="Arial"/>
          <w:b/>
        </w:rPr>
        <w:t>.</w:t>
      </w:r>
      <w:r w:rsidR="007E10F2" w:rsidRPr="00A663DA">
        <w:rPr>
          <w:rFonts w:ascii="Arial" w:hAnsi="Arial" w:cs="Arial"/>
          <w:b/>
        </w:rPr>
        <w:t xml:space="preserve"> Y</w:t>
      </w:r>
      <w:r w:rsidR="007E10F2" w:rsidRPr="007E10F2">
        <w:rPr>
          <w:rFonts w:ascii="Arial" w:hAnsi="Arial" w:cs="Arial"/>
          <w:b/>
        </w:rPr>
        <w:t>ıllık değişimler incelendiğinde, tüm endekslerin negatif bölgede yer aldığı ve sektör genelinde bir daralma eğiliminin hâkim olduğu görülmektedir.</w:t>
      </w:r>
    </w:p>
    <w:p w14:paraId="49949D67" w14:textId="11E51588"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721B7DB5" w14:textId="0CDBEB22" w:rsidR="00A663DA" w:rsidRDefault="00042A9E" w:rsidP="00CE179D">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CE179D">
        <w:rPr>
          <w:rFonts w:ascii="Arial" w:hAnsi="Arial" w:cs="Arial"/>
        </w:rPr>
        <w:t>Temmuz</w:t>
      </w:r>
      <w:r w:rsidR="00B11175">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w:t>
      </w:r>
      <w:r w:rsidR="00C21D35">
        <w:rPr>
          <w:rFonts w:ascii="Arial" w:hAnsi="Arial" w:cs="Arial"/>
        </w:rPr>
        <w:t>,</w:t>
      </w:r>
      <w:r w:rsidR="005B47D9">
        <w:rPr>
          <w:rFonts w:ascii="Arial" w:hAnsi="Arial" w:cs="Arial"/>
        </w:rPr>
        <w:t xml:space="preserve"> </w:t>
      </w:r>
      <w:r w:rsidR="00A663DA">
        <w:rPr>
          <w:rFonts w:ascii="Arial" w:hAnsi="Arial" w:cs="Arial"/>
        </w:rPr>
        <w:t>h</w:t>
      </w:r>
      <w:r w:rsidR="00A663DA" w:rsidRPr="00A663DA">
        <w:rPr>
          <w:rFonts w:ascii="Arial" w:hAnsi="Arial" w:cs="Arial"/>
        </w:rPr>
        <w:t>aziran ve temmuz ayı verileri, temmuz ayında sektörde sınırlı bir zayıflamaya işaret etmektedir. Haziran ayında özellikle Faaliyet Endeksi'nde belirgin bir toparlanma gözlenirken, temmuz ayında bu toparlanmanın bir miktar zayıfladığı görülmektedir. Buna karşılık Güven Endeksi'nde bir miktar iyileşme yaşanmış, Beklenti Endeksi ve Hazır Beton Endeksi ise gerilemiştir.</w:t>
      </w:r>
    </w:p>
    <w:p w14:paraId="60796ED0" w14:textId="7029298A" w:rsidR="00A663DA" w:rsidRPr="00A663DA" w:rsidRDefault="00A663DA" w:rsidP="00A663DA">
      <w:pPr>
        <w:spacing w:before="120" w:after="120" w:line="264" w:lineRule="auto"/>
        <w:jc w:val="both"/>
        <w:rPr>
          <w:rFonts w:ascii="Arial" w:hAnsi="Arial" w:cs="Arial"/>
        </w:rPr>
      </w:pPr>
      <w:r w:rsidRPr="00A663DA">
        <w:rPr>
          <w:rFonts w:ascii="Arial" w:hAnsi="Arial" w:cs="Arial"/>
        </w:rPr>
        <w:t>Güven Endeksi, haziran ayında 98,5 seviyesindeyken temmuz ayında 98,9 seviyesine yükselmiştir. Endekste yaşanan 0,4 puanlık artış, sektöre ilişkin güven algısında az da olsa bir iyileşmeye işaret etmektedir. Bununla birlikte, endeksin 100,00 eşik değerinin altında kalmaya devam etmesi, sektörde güvenin henüz güçlü ve kalıcı bir toparlanma göstermediğini ortaya koymaktadır. Firmaların ekonomik görünüm ve inşaat sektörüne ilişkin değerlendirmelerinde temkinli yaklaşımın sürdüğü görülmektedir.</w:t>
      </w:r>
    </w:p>
    <w:p w14:paraId="7EBAFE2B" w14:textId="75845120" w:rsidR="00A663DA" w:rsidRPr="00A663DA" w:rsidRDefault="00A663DA" w:rsidP="00A663DA">
      <w:pPr>
        <w:spacing w:before="120" w:after="120" w:line="264" w:lineRule="auto"/>
        <w:jc w:val="both"/>
        <w:rPr>
          <w:rFonts w:ascii="Arial" w:hAnsi="Arial" w:cs="Arial"/>
        </w:rPr>
      </w:pPr>
      <w:r w:rsidRPr="00A663DA">
        <w:rPr>
          <w:rFonts w:ascii="Arial" w:hAnsi="Arial" w:cs="Arial"/>
        </w:rPr>
        <w:t>Faaliyet Endeksi, haziran ayında 100,10 seviyesine yükselerek 100,00 eşik değerinin hemen üzerine çıkmış, ancak temmuz ayında 99,53 seviyesine gerilemiştir. Böylece temmuz ayında 0,57 puanlık bir düşüş gerçekleşmiştir. Endeksin yeniden 100,00 eşik değerinin altına inmesi, haziran ayında görülen toparlanmanın temmuz ayında sürdürülemediğini göstermektedir. Bununla birlikte, endeksin 100,00 seviyesine oldukça yakın olması, sektörde faaliyet koşullarında sert bir daralmadan ziyade sınırlı bir yavaşlama yaşandığına işaret etmektedir.</w:t>
      </w:r>
    </w:p>
    <w:p w14:paraId="619C8AF4" w14:textId="7FC9A322" w:rsidR="00A663DA" w:rsidRPr="00A663DA" w:rsidRDefault="00A663DA" w:rsidP="00A663DA">
      <w:pPr>
        <w:spacing w:before="120" w:after="120" w:line="264" w:lineRule="auto"/>
        <w:jc w:val="both"/>
        <w:rPr>
          <w:rFonts w:ascii="Arial" w:hAnsi="Arial" w:cs="Arial"/>
        </w:rPr>
      </w:pPr>
      <w:r w:rsidRPr="00A663DA">
        <w:rPr>
          <w:rFonts w:ascii="Arial" w:hAnsi="Arial" w:cs="Arial"/>
        </w:rPr>
        <w:t>Hazır Beton Endeksi, haziran ayında 99,3 seviyesindeyken temmuz ayında 99,2 seviyesine gerilemiştir. Endeksteki 0,1 puanlık düşüş oldukça sınırlı olmakla birlikte, sektörün genel görünümünde haziran ayındaki seviyenin bir miktar altında kalındığını ortaya koymaktadır. Hazır Beton Endeksi'nin 100,00 eşik değerinin altında seyretmeye devam etmesi, sektördeki genel koşulların henüz güçlü bir iyileşme eğilimine ulaşmadığını yansıtmakta, buna karşın sektör genelinde belirgin bir bozulma olmadığını göstermektedir.</w:t>
      </w:r>
    </w:p>
    <w:p w14:paraId="025BD6DD" w14:textId="4D8B9B17" w:rsidR="00CE179D" w:rsidRDefault="00A663DA" w:rsidP="00A663DA">
      <w:pPr>
        <w:spacing w:before="120" w:after="120" w:line="264" w:lineRule="auto"/>
        <w:jc w:val="both"/>
        <w:rPr>
          <w:rFonts w:ascii="Arial" w:hAnsi="Arial" w:cs="Arial"/>
        </w:rPr>
      </w:pPr>
      <w:r w:rsidRPr="00A663DA">
        <w:rPr>
          <w:rFonts w:ascii="Arial" w:hAnsi="Arial" w:cs="Arial"/>
        </w:rPr>
        <w:t>Beklenti Endeksi ise haziran ayında 99,4 seviyesindeyken temmuz ayında 99,1 seviyesine gerilemiştir. Endekste meydana gelen 0,3 puanlık düşüşten dolayı, sektör temsilcilerinin önümüzdeki döneme ilişkin beklentilerinde haziran ayına kıyasla kısmi bir zayıflama olduğu anlaşılmaktadır. Endeksin 100,00 eşik değerinin altında bulunması, sektörün geleceğine yönelik beklentilerde temkinli yaklaşımın devam ettiğine işaret etmektedir.</w:t>
      </w:r>
    </w:p>
    <w:p w14:paraId="24FE12FF" w14:textId="77777777" w:rsidR="005E492A" w:rsidRDefault="00727AAD">
      <w:pPr>
        <w:spacing w:before="120" w:after="120" w:line="264" w:lineRule="auto"/>
        <w:jc w:val="both"/>
        <w:rPr>
          <w:rFonts w:ascii="Arial" w:hAnsi="Arial" w:cs="Arial"/>
        </w:rPr>
      </w:pPr>
      <w:r>
        <w:rPr>
          <w:rFonts w:ascii="Arial" w:hAnsi="Arial" w:cs="Arial"/>
        </w:rPr>
        <w:t xml:space="preserve">Geçen yılın aynı ayına göre bakıldığında, </w:t>
      </w:r>
      <w:r w:rsidR="00CE179D">
        <w:rPr>
          <w:rFonts w:ascii="Arial" w:hAnsi="Arial" w:cs="Arial"/>
        </w:rPr>
        <w:t>t</w:t>
      </w:r>
      <w:r w:rsidR="00CE179D" w:rsidRPr="00CE179D">
        <w:rPr>
          <w:rFonts w:ascii="Arial" w:hAnsi="Arial" w:cs="Arial"/>
        </w:rPr>
        <w:t xml:space="preserve">emmuz ayında </w:t>
      </w:r>
      <w:r w:rsidR="00A663DA" w:rsidRPr="00A663DA">
        <w:rPr>
          <w:rFonts w:ascii="Arial" w:hAnsi="Arial" w:cs="Arial"/>
        </w:rPr>
        <w:t xml:space="preserve">tüm endekslerin negatif bölgede yer aldığı ve sektör genelinde bir daralma eğiliminin hâkim olduğu görülmektedir. Yıllık bazda en belirgin gerileme %1,5 ile Faaliyet Endeksi’nde yaşanmış, bu durum sahadaki fiili iş hacminde geçen yılın aynı dönemine kıyasla yavaşlama olduğuna işaret etmiştir. </w:t>
      </w:r>
    </w:p>
    <w:p w14:paraId="6570E732" w14:textId="50AA013B" w:rsidR="00A663DA" w:rsidRDefault="00A663DA">
      <w:pPr>
        <w:spacing w:before="120" w:after="120" w:line="264" w:lineRule="auto"/>
        <w:jc w:val="both"/>
        <w:rPr>
          <w:rFonts w:ascii="Arial" w:hAnsi="Arial" w:cs="Arial"/>
        </w:rPr>
      </w:pPr>
      <w:r w:rsidRPr="00A663DA">
        <w:rPr>
          <w:rFonts w:ascii="Arial" w:hAnsi="Arial" w:cs="Arial"/>
        </w:rPr>
        <w:lastRenderedPageBreak/>
        <w:t>Benzer şekilde, Beklenti Endeksi %1,2 ve Hazır Beton Endeksi %1,1 oranında gerilemiştir. Güven Endeksi ise %0,5’lik sınırlı düşüşle negatif bölgede kalmakla birlikte, diğer endekslere kıyasla daha dirençli bir duruş sergilemiştir.</w:t>
      </w:r>
    </w:p>
    <w:p w14:paraId="612FEA4A" w14:textId="77777777" w:rsidR="00A663DA" w:rsidRDefault="00A663DA">
      <w:pPr>
        <w:spacing w:before="120" w:after="120" w:line="264" w:lineRule="auto"/>
        <w:jc w:val="both"/>
        <w:rPr>
          <w:rFonts w:ascii="Arial" w:hAnsi="Arial" w:cs="Arial"/>
        </w:rPr>
      </w:pPr>
      <w:r w:rsidRPr="00A663DA">
        <w:rPr>
          <w:rFonts w:ascii="Arial" w:hAnsi="Arial" w:cs="Arial"/>
        </w:rPr>
        <w:t>2026 yılının üçüncü çeyreğinin başında açıklanan temmuz ayı verileri, sektörün yıllık bazda daralma baskısı altında olduğunu ortaya koymaktadır. Faaliyet ve Hazır Beton endekslerindeki gerileme, inşaat sahasındaki reel hareketliliğin ve talep koşullarının geçen yılın gerisinde kaldığını göstermektedir. Beklenti ve Güven Endekslerindeki negatif seyir ise piyasa aktörlerinin temkinli ve bekleyiş içindeki tutumunun sürdüğüne işaret etmektedir.</w:t>
      </w:r>
    </w:p>
    <w:p w14:paraId="44125384" w14:textId="063C0382" w:rsidR="00FB0C03" w:rsidRDefault="00D4198C">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7E10F2">
        <w:rPr>
          <w:rFonts w:ascii="Arial" w:hAnsi="Arial" w:cs="Arial"/>
        </w:rPr>
        <w:t>T</w:t>
      </w:r>
      <w:r w:rsidR="007E10F2" w:rsidRPr="007E10F2">
        <w:rPr>
          <w:rFonts w:ascii="Arial" w:hAnsi="Arial" w:cs="Arial"/>
        </w:rPr>
        <w:t>emmuz ayında tüm endeksler yıllık bazda gerilerken, hazır beton sektöründe daralma baskısı sürdü</w:t>
      </w:r>
      <w:r w:rsidR="007E10F2">
        <w:rPr>
          <w:rFonts w:ascii="Arial" w:hAnsi="Arial" w:cs="Arial"/>
        </w:rPr>
        <w:t>. E</w:t>
      </w:r>
      <w:r w:rsidR="007E10F2" w:rsidRPr="007E10F2">
        <w:rPr>
          <w:rFonts w:ascii="Arial" w:hAnsi="Arial" w:cs="Arial"/>
        </w:rPr>
        <w:t>n belirgin düşüş %1,5 ile Faaliyet Endeksi’nde yaşandı</w:t>
      </w:r>
      <w:r w:rsidR="001D6E9F" w:rsidRPr="001D6E9F">
        <w:rPr>
          <w:rFonts w:ascii="Arial" w:hAnsi="Arial" w:cs="Arial"/>
        </w:rPr>
        <w:t>.</w:t>
      </w:r>
      <w:r w:rsidR="007E10F2">
        <w:rPr>
          <w:rFonts w:ascii="Arial" w:hAnsi="Arial" w:cs="Arial"/>
        </w:rPr>
        <w:t xml:space="preserve"> B</w:t>
      </w:r>
      <w:r w:rsidR="007E10F2" w:rsidRPr="00A663DA">
        <w:rPr>
          <w:rFonts w:ascii="Arial" w:hAnsi="Arial" w:cs="Arial"/>
        </w:rPr>
        <w:t>u durum sahadaki fiili iş hacminde geçen yılın aynı dönemine kıyasla yavaşlama olduğuna işaret etm</w:t>
      </w:r>
      <w:r w:rsidR="007E10F2">
        <w:rPr>
          <w:rFonts w:ascii="Arial" w:hAnsi="Arial" w:cs="Arial"/>
        </w:rPr>
        <w:t>ektedir.</w:t>
      </w:r>
      <w:r w:rsidR="00FB0C03">
        <w:rPr>
          <w:rFonts w:ascii="Arial" w:hAnsi="Arial" w:cs="Arial"/>
        </w:rPr>
        <w:t>” dedi.</w:t>
      </w:r>
    </w:p>
    <w:p w14:paraId="7C338341" w14:textId="26117779"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A663DA" w:rsidRPr="00A663DA">
        <w:rPr>
          <w:rFonts w:ascii="Arial" w:hAnsi="Arial" w:cs="Arial"/>
        </w:rPr>
        <w:t xml:space="preserve">Ağustos 2026 itibarıyla Türk inşaat sektörü, </w:t>
      </w:r>
      <w:proofErr w:type="spellStart"/>
      <w:r w:rsidR="00A663DA" w:rsidRPr="00A663DA">
        <w:rPr>
          <w:rFonts w:ascii="Arial" w:hAnsi="Arial" w:cs="Arial"/>
        </w:rPr>
        <w:t>dezenflasyon</w:t>
      </w:r>
      <w:proofErr w:type="spellEnd"/>
      <w:r w:rsidR="00A663DA" w:rsidRPr="00A663DA">
        <w:rPr>
          <w:rFonts w:ascii="Arial" w:hAnsi="Arial" w:cs="Arial"/>
        </w:rPr>
        <w:t xml:space="preserve"> sürecinin ve gerileyen yıllık enflasyonun yarattığı olumlu beklentilere karşın, yüksek borçlanma maliyetleri ve sıkı parasal koşulların gölgesinde bir dengeleme süreci yaşamaktadır. Sıkı para politikasının etkisiyle krediye erişimde devam eden zorluk ve yüksek finansman maliyetleri, özellikle özel sektörün konut ve ticari gayrimenkul yatırımlarını kısıtlamayı sürdürmektedir. Buna karşılık, kentsel dönüşüm projeleri, deprem bölgesindeki altyapı ile konut yapım faaliyetleri ve kamu odaklı projeler sektörün temel taşıyıcı unsurları olmaya devam etmektedir. Önümüzdeki dönemde endekslerin yeniden pozitif bölgeye geçebilmesi ve sektördeki toparlanmanın güç kazanması; </w:t>
      </w:r>
      <w:proofErr w:type="spellStart"/>
      <w:r w:rsidR="00A663DA" w:rsidRPr="00A663DA">
        <w:rPr>
          <w:rFonts w:ascii="Arial" w:hAnsi="Arial" w:cs="Arial"/>
        </w:rPr>
        <w:t>dezenflasyon</w:t>
      </w:r>
      <w:proofErr w:type="spellEnd"/>
      <w:r w:rsidR="00A663DA" w:rsidRPr="00A663DA">
        <w:rPr>
          <w:rFonts w:ascii="Arial" w:hAnsi="Arial" w:cs="Arial"/>
        </w:rPr>
        <w:t xml:space="preserve"> patikasının kalıcılık kazanmasına, Merkez Bankası’nın olası faiz indirim döngüsünün finansman koşullarında sağlayacağı rahatlamaya ve gayrimenkul piyasasına yönelik ertelenmiş talebin fiili talebe dönüşme hızına bağlı olacaktır.</w:t>
      </w:r>
      <w:r w:rsidR="00D4198C" w:rsidRPr="00D4198C">
        <w:rPr>
          <w:rFonts w:ascii="Arial" w:hAnsi="Arial" w:cs="Arial"/>
        </w:rPr>
        <w:t>”</w:t>
      </w:r>
      <w:r w:rsidR="00FB0C03">
        <w:rPr>
          <w:rFonts w:ascii="Arial" w:hAnsi="Arial" w:cs="Arial"/>
        </w:rPr>
        <w:t xml:space="preserve"> dedi.</w:t>
      </w:r>
    </w:p>
    <w:p w14:paraId="448608E8" w14:textId="55F0D2A6" w:rsidR="006C6DAD" w:rsidRDefault="008E2225" w:rsidP="006C6DAD">
      <w:pPr>
        <w:spacing w:after="120"/>
        <w:jc w:val="center"/>
        <w:outlineLvl w:val="1"/>
        <w:rPr>
          <w:noProof/>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p>
    <w:p w14:paraId="02D8DAAA" w14:textId="27AF6110" w:rsidR="005E492A" w:rsidRDefault="007E10F2" w:rsidP="005E492A">
      <w:pPr>
        <w:spacing w:after="120"/>
        <w:jc w:val="center"/>
        <w:outlineLvl w:val="1"/>
        <w:rPr>
          <w:rFonts w:ascii="Arial" w:hAnsi="Arial" w:cs="Arial"/>
          <w:b/>
        </w:rPr>
      </w:pPr>
      <w:r>
        <w:rPr>
          <w:noProof/>
        </w:rPr>
        <w:drawing>
          <wp:inline distT="0" distB="0" distL="0" distR="0" wp14:anchorId="61BDDF99" wp14:editId="2AF43CDE">
            <wp:extent cx="5661660" cy="3474720"/>
            <wp:effectExtent l="0" t="0" r="15240" b="11430"/>
            <wp:docPr id="1034784186" name="Grafik 1">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655C95" w14:textId="54495903" w:rsidR="00671ED7" w:rsidRDefault="008E2225" w:rsidP="00EB004B">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1CE8BD35" w14:textId="77777777" w:rsidR="005E492A" w:rsidRDefault="005E492A" w:rsidP="00EB004B">
      <w:pPr>
        <w:spacing w:before="230" w:after="115"/>
        <w:contextualSpacing/>
        <w:jc w:val="center"/>
        <w:outlineLvl w:val="1"/>
        <w:rPr>
          <w:rFonts w:ascii="Arial" w:hAnsi="Arial" w:cs="Arial"/>
          <w:b/>
        </w:rPr>
      </w:pPr>
    </w:p>
    <w:p w14:paraId="198050A2" w14:textId="76CFDE6C" w:rsidR="006025DB" w:rsidRDefault="007E10F2" w:rsidP="00EB004B">
      <w:pPr>
        <w:spacing w:before="230" w:after="115"/>
        <w:contextualSpacing/>
        <w:jc w:val="center"/>
        <w:outlineLvl w:val="1"/>
        <w:rPr>
          <w:rFonts w:ascii="Arial" w:hAnsi="Arial" w:cs="Arial"/>
          <w:b/>
        </w:rPr>
      </w:pPr>
      <w:r>
        <w:rPr>
          <w:noProof/>
        </w:rPr>
        <w:drawing>
          <wp:inline distT="0" distB="0" distL="0" distR="0" wp14:anchorId="06964B12" wp14:editId="51DAEE91">
            <wp:extent cx="5684520" cy="1181100"/>
            <wp:effectExtent l="0" t="0" r="11430" b="0"/>
            <wp:docPr id="188458392" name="Grafik 1">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F94C3E8" w14:textId="292C59B3" w:rsidR="005E492A" w:rsidRDefault="005E492A" w:rsidP="00EB004B">
      <w:pPr>
        <w:spacing w:before="230" w:after="115"/>
        <w:contextualSpacing/>
        <w:jc w:val="center"/>
        <w:outlineLvl w:val="1"/>
        <w:rPr>
          <w:rFonts w:ascii="Arial" w:hAnsi="Arial" w:cs="Arial"/>
          <w:b/>
        </w:rPr>
      </w:pPr>
    </w:p>
    <w:p w14:paraId="2579E745" w14:textId="77777777" w:rsidR="005E492A" w:rsidRDefault="005E492A" w:rsidP="00EB004B">
      <w:pPr>
        <w:spacing w:before="230" w:after="115"/>
        <w:contextualSpacing/>
        <w:jc w:val="center"/>
        <w:outlineLvl w:val="1"/>
        <w:rPr>
          <w:rFonts w:ascii="Arial" w:hAnsi="Arial" w:cs="Arial"/>
          <w:b/>
        </w:rPr>
      </w:pPr>
    </w:p>
    <w:p w14:paraId="7F9B9B15" w14:textId="1C8678B4" w:rsidR="00D2194E" w:rsidRDefault="00D2194E" w:rsidP="00447336">
      <w:pPr>
        <w:spacing w:before="230" w:after="115"/>
        <w:contextualSpacing/>
        <w:jc w:val="center"/>
        <w:outlineLvl w:val="1"/>
        <w:rPr>
          <w:rFonts w:ascii="Arial" w:hAnsi="Arial" w:cs="Arial"/>
          <w:b/>
        </w:rPr>
      </w:pPr>
    </w:p>
    <w:p w14:paraId="56145E4F" w14:textId="77777777" w:rsidR="00965EC8" w:rsidRDefault="00965EC8"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5E492A" w:rsidP="007800F7">
      <w:pPr>
        <w:pStyle w:val="AralkYok1"/>
        <w:spacing w:line="276" w:lineRule="auto"/>
        <w:contextualSpacing/>
        <w:rPr>
          <w:rStyle w:val="Kpr"/>
          <w:rFonts w:ascii="Arial" w:eastAsia="Times New Roman" w:hAnsi="Arial" w:cs="Arial"/>
          <w:b/>
          <w:bCs/>
          <w:sz w:val="16"/>
          <w:szCs w:val="16"/>
        </w:rPr>
      </w:pPr>
      <w:hyperlink r:id="rId11"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2"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3"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E27"/>
    <w:rsid w:val="000012CC"/>
    <w:rsid w:val="00002545"/>
    <w:rsid w:val="0000406C"/>
    <w:rsid w:val="00004DFE"/>
    <w:rsid w:val="000142B4"/>
    <w:rsid w:val="00015216"/>
    <w:rsid w:val="000170E9"/>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9BB"/>
    <w:rsid w:val="000B4FCF"/>
    <w:rsid w:val="000B56FA"/>
    <w:rsid w:val="000B6063"/>
    <w:rsid w:val="000C0F35"/>
    <w:rsid w:val="000C3DD0"/>
    <w:rsid w:val="000C51C7"/>
    <w:rsid w:val="000C7E3E"/>
    <w:rsid w:val="000D11ED"/>
    <w:rsid w:val="000D25BF"/>
    <w:rsid w:val="000D4E1F"/>
    <w:rsid w:val="000D5280"/>
    <w:rsid w:val="000D769D"/>
    <w:rsid w:val="000D7872"/>
    <w:rsid w:val="000E01E3"/>
    <w:rsid w:val="000E4A8C"/>
    <w:rsid w:val="000E637A"/>
    <w:rsid w:val="000E6A4A"/>
    <w:rsid w:val="000E6F4B"/>
    <w:rsid w:val="000E71DB"/>
    <w:rsid w:val="000F5905"/>
    <w:rsid w:val="000F6ACF"/>
    <w:rsid w:val="00100CBB"/>
    <w:rsid w:val="00110ADB"/>
    <w:rsid w:val="00114095"/>
    <w:rsid w:val="00114134"/>
    <w:rsid w:val="00115824"/>
    <w:rsid w:val="00116448"/>
    <w:rsid w:val="00117E77"/>
    <w:rsid w:val="00121729"/>
    <w:rsid w:val="001242F3"/>
    <w:rsid w:val="00131534"/>
    <w:rsid w:val="00131D7F"/>
    <w:rsid w:val="0014421E"/>
    <w:rsid w:val="0015058D"/>
    <w:rsid w:val="00153530"/>
    <w:rsid w:val="00153E04"/>
    <w:rsid w:val="001548D4"/>
    <w:rsid w:val="0015738B"/>
    <w:rsid w:val="00162F0D"/>
    <w:rsid w:val="001638CC"/>
    <w:rsid w:val="00163FFE"/>
    <w:rsid w:val="001651BC"/>
    <w:rsid w:val="0017048D"/>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44D9"/>
    <w:rsid w:val="001D674D"/>
    <w:rsid w:val="001D6E9F"/>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207C"/>
    <w:rsid w:val="002646B6"/>
    <w:rsid w:val="00271D67"/>
    <w:rsid w:val="002736BE"/>
    <w:rsid w:val="0027466D"/>
    <w:rsid w:val="002751EF"/>
    <w:rsid w:val="00280E29"/>
    <w:rsid w:val="00281B65"/>
    <w:rsid w:val="00282596"/>
    <w:rsid w:val="002A0E28"/>
    <w:rsid w:val="002A265F"/>
    <w:rsid w:val="002B023F"/>
    <w:rsid w:val="002B240D"/>
    <w:rsid w:val="002B46E3"/>
    <w:rsid w:val="002C0439"/>
    <w:rsid w:val="002C5A3D"/>
    <w:rsid w:val="002D412A"/>
    <w:rsid w:val="002D458A"/>
    <w:rsid w:val="002D7D36"/>
    <w:rsid w:val="002D7EAE"/>
    <w:rsid w:val="002E1193"/>
    <w:rsid w:val="002E123B"/>
    <w:rsid w:val="002E3582"/>
    <w:rsid w:val="002E3CC0"/>
    <w:rsid w:val="002E597C"/>
    <w:rsid w:val="002E7E04"/>
    <w:rsid w:val="002F1F59"/>
    <w:rsid w:val="002F2B80"/>
    <w:rsid w:val="002F2E74"/>
    <w:rsid w:val="002F307B"/>
    <w:rsid w:val="002F3C2D"/>
    <w:rsid w:val="00300D53"/>
    <w:rsid w:val="0030154E"/>
    <w:rsid w:val="00304EAD"/>
    <w:rsid w:val="00306D8C"/>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9799E"/>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3D95"/>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365"/>
    <w:rsid w:val="00561B83"/>
    <w:rsid w:val="0056337F"/>
    <w:rsid w:val="00563A80"/>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2953"/>
    <w:rsid w:val="005E425D"/>
    <w:rsid w:val="005E492A"/>
    <w:rsid w:val="005F051F"/>
    <w:rsid w:val="005F12C0"/>
    <w:rsid w:val="005F1B57"/>
    <w:rsid w:val="005F41A4"/>
    <w:rsid w:val="005F6F7D"/>
    <w:rsid w:val="005F707A"/>
    <w:rsid w:val="005F7597"/>
    <w:rsid w:val="0060100B"/>
    <w:rsid w:val="006025DB"/>
    <w:rsid w:val="00602672"/>
    <w:rsid w:val="00602D35"/>
    <w:rsid w:val="006037D9"/>
    <w:rsid w:val="00605F15"/>
    <w:rsid w:val="00610917"/>
    <w:rsid w:val="00610B5A"/>
    <w:rsid w:val="0061329F"/>
    <w:rsid w:val="0061563C"/>
    <w:rsid w:val="0061585C"/>
    <w:rsid w:val="00621552"/>
    <w:rsid w:val="00622D7F"/>
    <w:rsid w:val="00624C49"/>
    <w:rsid w:val="00624FEB"/>
    <w:rsid w:val="00632937"/>
    <w:rsid w:val="00633D02"/>
    <w:rsid w:val="00634980"/>
    <w:rsid w:val="00635442"/>
    <w:rsid w:val="0063714D"/>
    <w:rsid w:val="006378BE"/>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96EE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D6AB4"/>
    <w:rsid w:val="007E10F2"/>
    <w:rsid w:val="007E38EA"/>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2E20"/>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055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77C59"/>
    <w:rsid w:val="00980E23"/>
    <w:rsid w:val="00984CF7"/>
    <w:rsid w:val="0098575F"/>
    <w:rsid w:val="00985950"/>
    <w:rsid w:val="00987E20"/>
    <w:rsid w:val="009917C0"/>
    <w:rsid w:val="009932AC"/>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663DA"/>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910"/>
    <w:rsid w:val="00B00DF6"/>
    <w:rsid w:val="00B0136C"/>
    <w:rsid w:val="00B038EF"/>
    <w:rsid w:val="00B0446E"/>
    <w:rsid w:val="00B10BA4"/>
    <w:rsid w:val="00B11175"/>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59BC"/>
    <w:rsid w:val="00B66ED1"/>
    <w:rsid w:val="00B70670"/>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4D34"/>
    <w:rsid w:val="00BC5C9D"/>
    <w:rsid w:val="00BC65EB"/>
    <w:rsid w:val="00BC773B"/>
    <w:rsid w:val="00BC7B3A"/>
    <w:rsid w:val="00BC7DA0"/>
    <w:rsid w:val="00BD01CF"/>
    <w:rsid w:val="00BD0205"/>
    <w:rsid w:val="00BD2AF6"/>
    <w:rsid w:val="00BD643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1D35"/>
    <w:rsid w:val="00C238CA"/>
    <w:rsid w:val="00C274B4"/>
    <w:rsid w:val="00C3071A"/>
    <w:rsid w:val="00C36ED1"/>
    <w:rsid w:val="00C36F19"/>
    <w:rsid w:val="00C409D7"/>
    <w:rsid w:val="00C417B3"/>
    <w:rsid w:val="00C50BFB"/>
    <w:rsid w:val="00C516A8"/>
    <w:rsid w:val="00C51EA7"/>
    <w:rsid w:val="00C55A04"/>
    <w:rsid w:val="00C565BC"/>
    <w:rsid w:val="00C61482"/>
    <w:rsid w:val="00C6188A"/>
    <w:rsid w:val="00C63576"/>
    <w:rsid w:val="00C64628"/>
    <w:rsid w:val="00C66A32"/>
    <w:rsid w:val="00C75BD0"/>
    <w:rsid w:val="00C75F6B"/>
    <w:rsid w:val="00C76B61"/>
    <w:rsid w:val="00C8262C"/>
    <w:rsid w:val="00C833CD"/>
    <w:rsid w:val="00C92556"/>
    <w:rsid w:val="00C96AD4"/>
    <w:rsid w:val="00CA2199"/>
    <w:rsid w:val="00CA3B36"/>
    <w:rsid w:val="00CA5AFF"/>
    <w:rsid w:val="00CA679E"/>
    <w:rsid w:val="00CB28BE"/>
    <w:rsid w:val="00CB3550"/>
    <w:rsid w:val="00CB408B"/>
    <w:rsid w:val="00CB480C"/>
    <w:rsid w:val="00CB4A1E"/>
    <w:rsid w:val="00CB7496"/>
    <w:rsid w:val="00CC180D"/>
    <w:rsid w:val="00CC1B13"/>
    <w:rsid w:val="00CC2E2D"/>
    <w:rsid w:val="00CC5A59"/>
    <w:rsid w:val="00CD10D7"/>
    <w:rsid w:val="00CD2ACE"/>
    <w:rsid w:val="00CD524A"/>
    <w:rsid w:val="00CE179D"/>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591"/>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B27FD"/>
    <w:rsid w:val="00DC04B9"/>
    <w:rsid w:val="00DC2128"/>
    <w:rsid w:val="00DC3208"/>
    <w:rsid w:val="00DC4072"/>
    <w:rsid w:val="00DC7111"/>
    <w:rsid w:val="00DD2139"/>
    <w:rsid w:val="00DE029D"/>
    <w:rsid w:val="00DE212A"/>
    <w:rsid w:val="00DE23A6"/>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2580"/>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04B"/>
    <w:rsid w:val="00EB01A9"/>
    <w:rsid w:val="00EB2622"/>
    <w:rsid w:val="00EB4085"/>
    <w:rsid w:val="00EB6C02"/>
    <w:rsid w:val="00EC2EF1"/>
    <w:rsid w:val="00EC3DDD"/>
    <w:rsid w:val="00EC45F0"/>
    <w:rsid w:val="00EC4B55"/>
    <w:rsid w:val="00EC598F"/>
    <w:rsid w:val="00ED0A74"/>
    <w:rsid w:val="00ED100C"/>
    <w:rsid w:val="00ED38ED"/>
    <w:rsid w:val="00ED622F"/>
    <w:rsid w:val="00ED7EA8"/>
    <w:rsid w:val="00EE1D26"/>
    <w:rsid w:val="00EF0963"/>
    <w:rsid w:val="00EF2340"/>
    <w:rsid w:val="00EF29C2"/>
    <w:rsid w:val="00EF585A"/>
    <w:rsid w:val="00F011EE"/>
    <w:rsid w:val="00F02E2A"/>
    <w:rsid w:val="00F10C33"/>
    <w:rsid w:val="00F10E65"/>
    <w:rsid w:val="00F1456F"/>
    <w:rsid w:val="00F20BA4"/>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66BE"/>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15:docId w15:val="{B657B471-FE09-46DB-B668-2F830BA0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inar.taskin@thbb.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an.zengin@thbb.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bb.org/basin-od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D:\belgeler\2026%20TEMMUZ.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sonuçları'!$DF$1:$DR$1</c:f>
              <c:strCache>
                <c:ptCount val="13"/>
                <c:pt idx="0">
                  <c:v>Temmuz</c:v>
                </c:pt>
                <c:pt idx="1">
                  <c:v>Ağustos</c:v>
                </c:pt>
                <c:pt idx="2">
                  <c:v>Eylül</c:v>
                </c:pt>
                <c:pt idx="3">
                  <c:v>Ekim</c:v>
                </c:pt>
                <c:pt idx="4">
                  <c:v>Kasım</c:v>
                </c:pt>
                <c:pt idx="5">
                  <c:v>Aralık</c:v>
                </c:pt>
                <c:pt idx="6">
                  <c:v>2026 Ocak</c:v>
                </c:pt>
                <c:pt idx="7">
                  <c:v>Şubat</c:v>
                </c:pt>
                <c:pt idx="8">
                  <c:v>Mart</c:v>
                </c:pt>
                <c:pt idx="9">
                  <c:v>Nisan</c:v>
                </c:pt>
                <c:pt idx="10">
                  <c:v>Mayıs</c:v>
                </c:pt>
                <c:pt idx="11">
                  <c:v>Haziran</c:v>
                </c:pt>
                <c:pt idx="12">
                  <c:v>Temmuz</c:v>
                </c:pt>
              </c:strCache>
            </c:strRef>
          </c:cat>
          <c:val>
            <c:numRef>
              <c:f>'endeks sonuçları'!$DF$2:$DR$2</c:f>
              <c:numCache>
                <c:formatCode>0.00</c:formatCode>
                <c:ptCount val="13"/>
                <c:pt idx="0">
                  <c:v>101.06666666666668</c:v>
                </c:pt>
                <c:pt idx="1">
                  <c:v>99.8</c:v>
                </c:pt>
                <c:pt idx="2">
                  <c:v>99.733333333333334</c:v>
                </c:pt>
                <c:pt idx="3">
                  <c:v>99.866666666666674</c:v>
                </c:pt>
                <c:pt idx="4">
                  <c:v>99.933333333333323</c:v>
                </c:pt>
                <c:pt idx="5">
                  <c:v>100.06666666666666</c:v>
                </c:pt>
                <c:pt idx="6">
                  <c:v>98.8</c:v>
                </c:pt>
                <c:pt idx="7">
                  <c:v>99.533333333333346</c:v>
                </c:pt>
                <c:pt idx="8">
                  <c:v>99.333333333333329</c:v>
                </c:pt>
                <c:pt idx="9">
                  <c:v>100.26666666666667</c:v>
                </c:pt>
                <c:pt idx="10">
                  <c:v>98.600000000000009</c:v>
                </c:pt>
                <c:pt idx="11">
                  <c:v>100.10000000000001</c:v>
                </c:pt>
                <c:pt idx="12">
                  <c:v>99.533333333333346</c:v>
                </c:pt>
              </c:numCache>
            </c:numRef>
          </c:val>
          <c:smooth val="0"/>
          <c:extLst>
            <c:ext xmlns:c16="http://schemas.microsoft.com/office/drawing/2014/chart" uri="{C3380CC4-5D6E-409C-BE32-E72D297353CC}">
              <c16:uniqueId val="{00000000-7514-4821-B865-2F1C1343D4B4}"/>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sonuçları'!$DF$1:$DR$1</c:f>
              <c:strCache>
                <c:ptCount val="13"/>
                <c:pt idx="0">
                  <c:v>Temmuz</c:v>
                </c:pt>
                <c:pt idx="1">
                  <c:v>Ağustos</c:v>
                </c:pt>
                <c:pt idx="2">
                  <c:v>Eylül</c:v>
                </c:pt>
                <c:pt idx="3">
                  <c:v>Ekim</c:v>
                </c:pt>
                <c:pt idx="4">
                  <c:v>Kasım</c:v>
                </c:pt>
                <c:pt idx="5">
                  <c:v>Aralık</c:v>
                </c:pt>
                <c:pt idx="6">
                  <c:v>2026 Ocak</c:v>
                </c:pt>
                <c:pt idx="7">
                  <c:v>Şubat</c:v>
                </c:pt>
                <c:pt idx="8">
                  <c:v>Mart</c:v>
                </c:pt>
                <c:pt idx="9">
                  <c:v>Nisan</c:v>
                </c:pt>
                <c:pt idx="10">
                  <c:v>Mayıs</c:v>
                </c:pt>
                <c:pt idx="11">
                  <c:v>Haziran</c:v>
                </c:pt>
                <c:pt idx="12">
                  <c:v>Temmuz</c:v>
                </c:pt>
              </c:strCache>
            </c:strRef>
          </c:cat>
          <c:val>
            <c:numRef>
              <c:f>'endeks sonuçları'!$DF$3:$DR$3</c:f>
              <c:numCache>
                <c:formatCode>General</c:formatCode>
                <c:ptCount val="13"/>
                <c:pt idx="0">
                  <c:v>99.4</c:v>
                </c:pt>
                <c:pt idx="1">
                  <c:v>99.5</c:v>
                </c:pt>
                <c:pt idx="2">
                  <c:v>99.1</c:v>
                </c:pt>
                <c:pt idx="3">
                  <c:v>99.3</c:v>
                </c:pt>
                <c:pt idx="4">
                  <c:v>99.300000000000011</c:v>
                </c:pt>
                <c:pt idx="5">
                  <c:v>98.6</c:v>
                </c:pt>
                <c:pt idx="6">
                  <c:v>98.5</c:v>
                </c:pt>
                <c:pt idx="7">
                  <c:v>99.6</c:v>
                </c:pt>
                <c:pt idx="8">
                  <c:v>99.3</c:v>
                </c:pt>
                <c:pt idx="9">
                  <c:v>99.4</c:v>
                </c:pt>
                <c:pt idx="10">
                  <c:v>98.65</c:v>
                </c:pt>
                <c:pt idx="11">
                  <c:v>98.5</c:v>
                </c:pt>
                <c:pt idx="12">
                  <c:v>98.9</c:v>
                </c:pt>
              </c:numCache>
            </c:numRef>
          </c:val>
          <c:smooth val="0"/>
          <c:extLst>
            <c:ext xmlns:c16="http://schemas.microsoft.com/office/drawing/2014/chart" uri="{C3380CC4-5D6E-409C-BE32-E72D297353CC}">
              <c16:uniqueId val="{00000001-7514-4821-B865-2F1C1343D4B4}"/>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sonuçları'!$DF$1:$DR$1</c:f>
              <c:strCache>
                <c:ptCount val="13"/>
                <c:pt idx="0">
                  <c:v>Temmuz</c:v>
                </c:pt>
                <c:pt idx="1">
                  <c:v>Ağustos</c:v>
                </c:pt>
                <c:pt idx="2">
                  <c:v>Eylül</c:v>
                </c:pt>
                <c:pt idx="3">
                  <c:v>Ekim</c:v>
                </c:pt>
                <c:pt idx="4">
                  <c:v>Kasım</c:v>
                </c:pt>
                <c:pt idx="5">
                  <c:v>Aralık</c:v>
                </c:pt>
                <c:pt idx="6">
                  <c:v>2026 Ocak</c:v>
                </c:pt>
                <c:pt idx="7">
                  <c:v>Şubat</c:v>
                </c:pt>
                <c:pt idx="8">
                  <c:v>Mart</c:v>
                </c:pt>
                <c:pt idx="9">
                  <c:v>Nisan</c:v>
                </c:pt>
                <c:pt idx="10">
                  <c:v>Mayıs</c:v>
                </c:pt>
                <c:pt idx="11">
                  <c:v>Haziran</c:v>
                </c:pt>
                <c:pt idx="12">
                  <c:v>Temmuz</c:v>
                </c:pt>
              </c:strCache>
            </c:strRef>
          </c:cat>
          <c:val>
            <c:numRef>
              <c:f>'endeks sonuçları'!$DF$4:$DR$4</c:f>
              <c:numCache>
                <c:formatCode>General</c:formatCode>
                <c:ptCount val="13"/>
                <c:pt idx="0">
                  <c:v>100.30000000000001</c:v>
                </c:pt>
                <c:pt idx="1">
                  <c:v>99.699999999999989</c:v>
                </c:pt>
                <c:pt idx="2">
                  <c:v>99.800000000000011</c:v>
                </c:pt>
                <c:pt idx="3">
                  <c:v>99.699999999999989</c:v>
                </c:pt>
                <c:pt idx="4">
                  <c:v>99.800000000000011</c:v>
                </c:pt>
                <c:pt idx="5">
                  <c:v>99.6</c:v>
                </c:pt>
                <c:pt idx="6">
                  <c:v>99.7</c:v>
                </c:pt>
                <c:pt idx="7">
                  <c:v>99.3</c:v>
                </c:pt>
                <c:pt idx="8">
                  <c:v>99.7</c:v>
                </c:pt>
                <c:pt idx="9">
                  <c:v>99.800000000000011</c:v>
                </c:pt>
                <c:pt idx="10">
                  <c:v>99.25</c:v>
                </c:pt>
                <c:pt idx="11">
                  <c:v>99.4</c:v>
                </c:pt>
                <c:pt idx="12">
                  <c:v>99.1</c:v>
                </c:pt>
              </c:numCache>
            </c:numRef>
          </c:val>
          <c:smooth val="0"/>
          <c:extLst>
            <c:ext xmlns:c16="http://schemas.microsoft.com/office/drawing/2014/chart" uri="{C3380CC4-5D6E-409C-BE32-E72D297353CC}">
              <c16:uniqueId val="{00000002-7514-4821-B865-2F1C1343D4B4}"/>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sonuçları'!$DF$1:$DR$1</c:f>
              <c:strCache>
                <c:ptCount val="13"/>
                <c:pt idx="0">
                  <c:v>Temmuz</c:v>
                </c:pt>
                <c:pt idx="1">
                  <c:v>Ağustos</c:v>
                </c:pt>
                <c:pt idx="2">
                  <c:v>Eylül</c:v>
                </c:pt>
                <c:pt idx="3">
                  <c:v>Ekim</c:v>
                </c:pt>
                <c:pt idx="4">
                  <c:v>Kasım</c:v>
                </c:pt>
                <c:pt idx="5">
                  <c:v>Aralık</c:v>
                </c:pt>
                <c:pt idx="6">
                  <c:v>2026 Ocak</c:v>
                </c:pt>
                <c:pt idx="7">
                  <c:v>Şubat</c:v>
                </c:pt>
                <c:pt idx="8">
                  <c:v>Mart</c:v>
                </c:pt>
                <c:pt idx="9">
                  <c:v>Nisan</c:v>
                </c:pt>
                <c:pt idx="10">
                  <c:v>Mayıs</c:v>
                </c:pt>
                <c:pt idx="11">
                  <c:v>Haziran</c:v>
                </c:pt>
                <c:pt idx="12">
                  <c:v>Temmuz</c:v>
                </c:pt>
              </c:strCache>
            </c:strRef>
          </c:cat>
          <c:val>
            <c:numRef>
              <c:f>'endeks sonuçları'!$DF$5:$DR$5</c:f>
              <c:numCache>
                <c:formatCode>0.0</c:formatCode>
                <c:ptCount val="13"/>
                <c:pt idx="0">
                  <c:v>100.25555555555557</c:v>
                </c:pt>
                <c:pt idx="1">
                  <c:v>99.666666666666671</c:v>
                </c:pt>
                <c:pt idx="2">
                  <c:v>99.544444444444437</c:v>
                </c:pt>
                <c:pt idx="3">
                  <c:v>99.62222222222222</c:v>
                </c:pt>
                <c:pt idx="4">
                  <c:v>99.677777777777791</c:v>
                </c:pt>
                <c:pt idx="5">
                  <c:v>99.422222222222217</c:v>
                </c:pt>
                <c:pt idx="6">
                  <c:v>99</c:v>
                </c:pt>
                <c:pt idx="7">
                  <c:v>99.477777777777774</c:v>
                </c:pt>
                <c:pt idx="8">
                  <c:v>99.444444444444443</c:v>
                </c:pt>
                <c:pt idx="9">
                  <c:v>99.822222222222237</c:v>
                </c:pt>
                <c:pt idx="10">
                  <c:v>98.833333333333329</c:v>
                </c:pt>
                <c:pt idx="11">
                  <c:v>99.333333333333329</c:v>
                </c:pt>
                <c:pt idx="12">
                  <c:v>99.177777777777763</c:v>
                </c:pt>
              </c:numCache>
            </c:numRef>
          </c:val>
          <c:smooth val="0"/>
          <c:extLst>
            <c:ext xmlns:c16="http://schemas.microsoft.com/office/drawing/2014/chart" uri="{C3380CC4-5D6E-409C-BE32-E72D297353CC}">
              <c16:uniqueId val="{00000003-7514-4821-B865-2F1C1343D4B4}"/>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sonuçları'!$DF$1:$DR$1</c:f>
              <c:strCache>
                <c:ptCount val="13"/>
                <c:pt idx="0">
                  <c:v>Temmuz</c:v>
                </c:pt>
                <c:pt idx="1">
                  <c:v>Ağustos</c:v>
                </c:pt>
                <c:pt idx="2">
                  <c:v>Eylül</c:v>
                </c:pt>
                <c:pt idx="3">
                  <c:v>Ekim</c:v>
                </c:pt>
                <c:pt idx="4">
                  <c:v>Kasım</c:v>
                </c:pt>
                <c:pt idx="5">
                  <c:v>Aralık</c:v>
                </c:pt>
                <c:pt idx="6">
                  <c:v>2026 Ocak</c:v>
                </c:pt>
                <c:pt idx="7">
                  <c:v>Şubat</c:v>
                </c:pt>
                <c:pt idx="8">
                  <c:v>Mart</c:v>
                </c:pt>
                <c:pt idx="9">
                  <c:v>Nisan</c:v>
                </c:pt>
                <c:pt idx="10">
                  <c:v>Mayıs</c:v>
                </c:pt>
                <c:pt idx="11">
                  <c:v>Haziran</c:v>
                </c:pt>
                <c:pt idx="12">
                  <c:v>Temmuz</c:v>
                </c:pt>
              </c:strCache>
            </c:strRef>
          </c:cat>
          <c:val>
            <c:numRef>
              <c:f>'endeks sonuçları'!$DF$6:$DR$6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c:ext xmlns:c16="http://schemas.microsoft.com/office/drawing/2014/chart" uri="{C3380CC4-5D6E-409C-BE32-E72D297353CC}">
              <c16:uniqueId val="{00000004-7514-4821-B865-2F1C1343D4B4}"/>
            </c:ext>
          </c:extLst>
        </c:ser>
        <c:dLbls>
          <c:showLegendKey val="0"/>
          <c:showVal val="1"/>
          <c:showCatName val="0"/>
          <c:showSerName val="0"/>
          <c:showPercent val="0"/>
          <c:showBubbleSize val="0"/>
        </c:dLbls>
        <c:smooth val="0"/>
        <c:axId val="177719296"/>
        <c:axId val="187222848"/>
      </c:lineChart>
      <c:catAx>
        <c:axId val="177719296"/>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87222848"/>
        <c:crosses val="autoZero"/>
        <c:auto val="1"/>
        <c:lblAlgn val="ctr"/>
        <c:lblOffset val="100"/>
        <c:noMultiLvlLbl val="0"/>
      </c:catAx>
      <c:valAx>
        <c:axId val="187222848"/>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77719296"/>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DB6-49D1-9AEB-E3B3DDDF6F8F}"/>
                </c:ext>
              </c:extLst>
            </c:dLbl>
            <c:dLbl>
              <c:idx val="1"/>
              <c:layout>
                <c:manualLayout>
                  <c:x val="-1.1876159152876401E-3"/>
                  <c:y val="-4.1666666666666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DB6-49D1-9AEB-E3B3DDDF6F8F}"/>
                </c:ext>
              </c:extLst>
            </c:dLbl>
            <c:dLbl>
              <c:idx val="2"/>
              <c:layout>
                <c:manualLayout>
                  <c:x val="0"/>
                  <c:y val="-4.16666666666666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DB6-49D1-9AEB-E3B3DDDF6F8F}"/>
                </c:ext>
              </c:extLst>
            </c:dLbl>
            <c:dLbl>
              <c:idx val="3"/>
              <c:layout>
                <c:manualLayout>
                  <c:x val="9.3697859497864696E-4"/>
                  <c:y val="-1.94818405599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DB6-49D1-9AEB-E3B3DDDF6F8F}"/>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sonuçları'!$DS$2:$DS$5</c:f>
              <c:numCache>
                <c:formatCode>0.0%</c:formatCode>
                <c:ptCount val="4"/>
                <c:pt idx="0">
                  <c:v>-1.5171503957783621E-2</c:v>
                </c:pt>
                <c:pt idx="1">
                  <c:v>-5.0301810865191147E-3</c:v>
                </c:pt>
                <c:pt idx="2">
                  <c:v>-1.1964107676969262E-2</c:v>
                </c:pt>
                <c:pt idx="3">
                  <c:v>-1.0750304776682144E-2</c:v>
                </c:pt>
              </c:numCache>
            </c:numRef>
          </c:val>
          <c:extLst>
            <c:ext xmlns:c16="http://schemas.microsoft.com/office/drawing/2014/chart" uri="{C3380CC4-5D6E-409C-BE32-E72D297353CC}">
              <c16:uniqueId val="{00000004-CDB6-49D1-9AEB-E3B3DDDF6F8F}"/>
            </c:ext>
          </c:extLst>
        </c:ser>
        <c:dLbls>
          <c:showLegendKey val="0"/>
          <c:showVal val="0"/>
          <c:showCatName val="0"/>
          <c:showSerName val="0"/>
          <c:showPercent val="0"/>
          <c:showBubbleSize val="0"/>
        </c:dLbls>
        <c:gapWidth val="150"/>
        <c:shape val="box"/>
        <c:axId val="177865216"/>
        <c:axId val="187226880"/>
        <c:axId val="0"/>
      </c:bar3DChart>
      <c:catAx>
        <c:axId val="177865216"/>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87226880"/>
        <c:crosses val="autoZero"/>
        <c:auto val="1"/>
        <c:lblAlgn val="ctr"/>
        <c:lblOffset val="100"/>
        <c:noMultiLvlLbl val="0"/>
      </c:catAx>
      <c:valAx>
        <c:axId val="187226880"/>
        <c:scaling>
          <c:orientation val="minMax"/>
          <c:min val="-0.03"/>
        </c:scaling>
        <c:delete val="0"/>
        <c:axPos val="b"/>
        <c:numFmt formatCode="0.0%" sourceLinked="1"/>
        <c:majorTickMark val="out"/>
        <c:minorTickMark val="none"/>
        <c:tickLblPos val="nextTo"/>
        <c:txPr>
          <a:bodyPr/>
          <a:lstStyle/>
          <a:p>
            <a:pPr>
              <a:defRPr lang="tr-TR"/>
            </a:pPr>
            <a:endParaRPr lang="tr-TR"/>
          </a:p>
        </c:txPr>
        <c:crossAx val="177865216"/>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4.xml><?xml version="1.0" encoding="utf-8"?>
<ds:datastoreItem xmlns:ds="http://schemas.openxmlformats.org/officeDocument/2006/customXml" ds:itemID="{F9A7C5F2-9BCA-4CC9-8ECF-801A0306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1222</Words>
  <Characters>6970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13</cp:revision>
  <cp:lastPrinted>2026-08-19T08:55:00Z</cp:lastPrinted>
  <dcterms:created xsi:type="dcterms:W3CDTF">2026-06-17T13:13:00Z</dcterms:created>
  <dcterms:modified xsi:type="dcterms:W3CDTF">2026-08-19T08:56:00Z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